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spacing w:after="360"/>
        <w:jc w:val="center"/>
      </w:pPr>
      <w:r>
        <w:rPr>
          <w:rFonts w:ascii="Calibri" w:hAnsi="Calibri" w:eastAsia="Calibri"/>
          <w:b/>
          <w:color w:val="C7912E"/>
          <w:sz w:val="22"/>
        </w:rPr>
        <w:t>THE AMC APE CAGE  |  EVIDENCE REPORT</w:t>
      </w:r>
    </w:p>
    <w:p>
      <w:pPr>
        <w:spacing w:after="160"/>
        <w:jc w:val="center"/>
      </w:pPr>
      <w:r>
        <w:rPr>
          <w:rFonts w:ascii="Calibri" w:hAnsi="Calibri" w:eastAsia="Calibri"/>
          <w:b/>
          <w:color w:val="163A59"/>
          <w:sz w:val="54"/>
        </w:rPr>
        <w:t>AMC:</w:t>
        <w:br/>
      </w:r>
      <w:r>
        <w:rPr>
          <w:rFonts w:ascii="Calibri" w:hAnsi="Calibri" w:eastAsia="Calibri"/>
          <w:b/>
          <w:color w:val="163A59"/>
          <w:sz w:val="54"/>
        </w:rPr>
        <w:t>WHERE DID JUNE GO?</w:t>
      </w:r>
    </w:p>
    <w:p>
      <w:pPr>
        <w:spacing w:after="480"/>
        <w:ind w:left="864" w:right="864"/>
        <w:jc w:val="center"/>
      </w:pPr>
      <w:r>
        <w:rPr>
          <w:rFonts w:ascii="Calibri" w:hAnsi="Calibri" w:eastAsia="Calibri"/>
          <w:i/>
          <w:color w:val="1F4D78"/>
          <w:sz w:val="29"/>
        </w:rPr>
        <w:t>The $385 Million Apex Trade, Citadel’s Disclosed Exposure, and the 42-Day Vanishing Act</w:t>
      </w:r>
    </w:p>
    <w:p>
      <w:pPr>
        <w:spacing w:after="80"/>
        <w:jc w:val="center"/>
      </w:pPr>
      <w:r>
        <w:rPr>
          <w:rFonts w:ascii="Calibri" w:hAnsi="Calibri" w:eastAsia="Calibri"/>
          <w:b/>
          <w:color w:val="1F252B"/>
          <w:sz w:val="22"/>
        </w:rPr>
        <w:t>Prepared for Security James</w:t>
      </w:r>
    </w:p>
    <w:p>
      <w:pPr>
        <w:spacing w:after="520"/>
        <w:jc w:val="center"/>
      </w:pPr>
      <w:r>
        <w:rPr>
          <w:rFonts w:ascii="Calibri" w:hAnsi="Calibri" w:eastAsia="Calibri"/>
          <w:color w:val="66717C"/>
          <w:sz w:val="20"/>
        </w:rPr>
        <w:t>Evidence cut-off: July 22, 2026</w:t>
      </w:r>
    </w:p>
    <w:p>
      <w:pPr>
        <w:pStyle w:val="ApeCallout"/>
        <w:ind w:left="1080" w:right="1080"/>
        <w:jc w:val="center"/>
        <w:shd w:fill="FFF4D6"/>
        <w:pBdr>
          <w:left w:val="single" w:sz="16" w:space="8" w:color="C7912E"/>
        </w:pBdr>
      </w:pPr>
      <w:r>
        <w:rPr>
          <w:rFonts w:ascii="Calibri" w:hAnsi="Calibri" w:eastAsia="Calibri"/>
          <w:color w:val="1F252B"/>
        </w:rPr>
        <w:t>They called it a meme-stock rally. The receipts call it a clearing event, a settlement event, an options event, and an audit that was never finished.</w:t>
      </w:r>
    </w:p>
    <w:p>
      <w:pPr>
        <w:spacing w:before="440"/>
        <w:ind w:left="864" w:right="864"/>
        <w:jc w:val="center"/>
      </w:pPr>
      <w:r>
        <w:rPr>
          <w:rFonts w:ascii="Calibri" w:hAnsi="Calibri" w:eastAsia="Calibri"/>
          <w:i/>
          <w:color w:val="66717C"/>
          <w:sz w:val="19"/>
        </w:rPr>
        <w:t>Investigation and show script. Not financial advice, a price target, or a squeeze-date prediction.</w:t>
      </w:r>
    </w:p>
    <w:p>
      <w:r>
        <w:br w:type="page"/>
      </w:r>
    </w:p>
    <w:p>
      <w:pPr>
        <w:pStyle w:val="Heading1"/>
        <w:ind w:left="0" w:right="0" w:firstLine="0"/>
        <w:jc w:val="left"/>
      </w:pPr>
      <w:r>
        <w:rPr>
          <w:rFonts w:ascii="Calibri" w:hAnsi="Calibri" w:eastAsia="Calibri"/>
          <w:b/>
          <w:color w:val="2E74B5"/>
          <w:sz w:val="32"/>
        </w:rPr>
        <w:t>Opening: Everybody Keeps Asking the Same Question</w:t>
      </w:r>
    </w:p>
    <w:p>
      <w:r>
        <w:rPr>
          <w:rFonts w:ascii="Calibri" w:hAnsi="Calibri" w:eastAsia="Calibri"/>
          <w:color w:val="1F252B"/>
        </w:rPr>
        <w:t>People keep asking how long this can continue. They see a company deliver strong business results, they watch the price turn red anyway, and they ask whether the market is ever going to let AMC run. I understand the anger. I understand why people look at the chart, the off-exchange volume, the changing short-interest number, and the old APE problems and say, “How can this possibly be clean?” But anger is not evidence, and a chart is not a conviction. If we are going to tell this story, we have to tell it in a way that survives contact with a regulator, a lawyer, a reporter, and the person on the other side who has spent five years waiting for us to exaggerate one fact.</w:t>
      </w:r>
    </w:p>
    <w:p>
      <w:r>
        <w:rPr>
          <w:rFonts w:ascii="Calibri" w:hAnsi="Calibri" w:eastAsia="Calibri"/>
          <w:color w:val="1F252B"/>
        </w:rPr>
        <w:t>So tonight we are not promising October. We are not pretending money runs out on a date printed on a calendar. We are not turning a real funding mechanism into a fortune cookie. We are doing something more dangerous to the people who benefit from opacity: we are rebuilding the transaction chain.</w:t>
      </w:r>
    </w:p>
    <w:p>
      <w:r>
        <w:rPr>
          <w:rFonts w:ascii="Calibri" w:hAnsi="Calibri" w:eastAsia="Calibri"/>
          <w:color w:val="1F252B"/>
        </w:rPr>
        <w:t>January 2021 gave us the first receipt. The House Financial Services Committee documented that AMC was not some minor side character standing behind GameStop. Robinhood attributed approximately $850 million of its $1.3 billion NSCC Value-at-Risk charge to AMC. Apex calculated margin requirements of 118% of AMC notional value. And inside Apex’s own review sat a transaction so large and so strange operationally that it should have become one of the most famous trades of the entire event: an unnamed proprietary trading firm submitted a buy and a sell involving approximately $385 million of AMC less than one second apart. The buy processed. The sell needed manual intervention because the price moved. For a period of time, Apex’s system saw a giant one-sided position that distorted the clearing exposure.</w:t>
      </w:r>
    </w:p>
    <w:p>
      <w:r>
        <w:rPr>
          <w:rFonts w:ascii="Calibri" w:hAnsi="Calibri" w:eastAsia="Calibri"/>
          <w:color w:val="1F252B"/>
        </w:rPr>
        <w:t>That is not internet folklore. That is not a screenshot from somebody’s cousin’s Discord. That is a congressional investigation describing an AMC transaction capable of changing what a clearing broker appeared to owe.</w:t>
      </w:r>
    </w:p>
    <w:p>
      <w:r>
        <w:rPr>
          <w:rFonts w:ascii="Calibri" w:hAnsi="Calibri" w:eastAsia="Calibri"/>
          <w:color w:val="1F252B"/>
        </w:rPr>
        <w:t>But January is only half the story. The part the public conversation keeps skipping is June.</w:t>
      </w:r>
    </w:p>
    <w:p>
      <w:r>
        <w:rPr>
          <w:rFonts w:ascii="Calibri" w:hAnsi="Calibri" w:eastAsia="Calibri"/>
          <w:color w:val="1F252B"/>
        </w:rPr>
        <w:t>AMC reached a verified regular-session NYSE high of $72.62 on June 2, 2021. Forty-two calendar days later, it closed at $33.43. That is a 53.96% decline. In the middle of that collapse, AMC accumulated millions of fails to deliver, entered the Regulation SHO threshold list, carried tens of millions of reported short shares, generated billions of shares of off-exchange turnover, and sat underneath large disclosed option exposure. By June 30, Citadel Advisors reported long AMC puts representing 8.407 million underlying shares and long calls representing 5.966 million underlying shares. Under common control, Citadel Securities occupied one of the most important retail execution positions in the market.</w:t>
      </w:r>
    </w:p>
    <w:p>
      <w:r>
        <w:rPr>
          <w:rFonts w:ascii="Calibri" w:hAnsi="Calibri" w:eastAsia="Calibri"/>
          <w:color w:val="1F252B"/>
        </w:rPr>
        <w:t>Does that prove Citadel suppressed AMC? No. Does it prove there was enough exposure, access, settlement stress, and market concentration to justify a forensic investigation? Absolutely.</w:t>
      </w:r>
    </w:p>
    <w:p>
      <w:r>
        <w:rPr>
          <w:rFonts w:ascii="Calibri" w:hAnsi="Calibri" w:eastAsia="Calibri"/>
          <w:color w:val="1F252B"/>
        </w:rPr>
        <w:t>That distinction is the entire show. The evidence is strong enough that we do not need to decorate it with fantasy. We can show the audience what happened, what the public data cannot reveal, and exactly which records would identify the actors. They called us dumb money because they thought we would never learn the plumbing. Cute. The plumbing left receipts.</w:t>
      </w:r>
    </w:p>
    <w:p>
      <w:pPr>
        <w:pStyle w:val="Heading1"/>
        <w:ind w:left="0" w:right="0" w:firstLine="0"/>
        <w:jc w:val="left"/>
      </w:pPr>
      <w:r>
        <w:rPr>
          <w:rFonts w:ascii="Calibri" w:hAnsi="Calibri" w:eastAsia="Calibri"/>
          <w:b/>
          <w:color w:val="2E74B5"/>
          <w:sz w:val="32"/>
        </w:rPr>
        <w:t>The $385 Million Trade Nobody Named</w:t>
      </w:r>
    </w:p>
    <w:p>
      <w:r>
        <w:rPr>
          <w:rFonts w:ascii="Calibri" w:hAnsi="Calibri" w:eastAsia="Calibri"/>
          <w:color w:val="1F252B"/>
        </w:rPr>
        <w:t>Let us start with the trade, because this is the piece that changes the January story from general market chaos into a specific AMC investigative lead.</w:t>
      </w:r>
    </w:p>
    <w:p>
      <w:r>
        <w:rPr>
          <w:rFonts w:ascii="Calibri" w:hAnsi="Calibri" w:eastAsia="Calibri"/>
          <w:color w:val="1F252B"/>
        </w:rPr>
        <w:t>The House report says Apex’s internal review found a trading imbalance from January 27, 2021. A single proprietary trading firm both bought and sold approximately $385 million of AMC. The orders arrived less than one second apart. Because AMC was moving so violently, the buy order went through while the sell side required manual intervention after the price changed. Until the correction was approved, Apex’s trading book temporarily showed a large net purchase. That one-sided picture affected the Value-at-Risk exposure Apex saw inside the NSCC process.</w:t>
      </w:r>
    </w:p>
    <w:p>
      <w:r>
        <w:rPr>
          <w:rFonts w:ascii="Calibri" w:hAnsi="Calibri" w:eastAsia="Calibri"/>
          <w:color w:val="1F252B"/>
        </w:rPr>
        <w:t>Average-person translation: imagine a warehouse computer receiving paperwork showing that somebody bought a mountain of inventory, while the matching paperwork showing that the same party sold the mountain gets kicked into a manual-review tray. For a period of time, the warehouse looks like it owns the entire mountain. The risk system does not care that somebody intended the trades to offset. It cares about what has actually been processed. The apparent exposure becomes real enough to influence the collateral calculation until the missing side is fixed.</w:t>
      </w:r>
    </w:p>
    <w:p>
      <w:r>
        <w:rPr>
          <w:rFonts w:ascii="Calibri" w:hAnsi="Calibri" w:eastAsia="Calibri"/>
          <w:color w:val="1F252B"/>
        </w:rPr>
        <w:t>That matters for three reasons.</w:t>
      </w:r>
    </w:p>
    <w:p>
      <w:r>
        <w:rPr>
          <w:rFonts w:ascii="Calibri" w:hAnsi="Calibri" w:eastAsia="Calibri"/>
          <w:color w:val="1F252B"/>
        </w:rPr>
        <w:t>First, it proves professional firms were moving enormous AMC positions during the event. The public conversation is usually framed as retail traders clicking buy on phone apps while hedge funds watched from the balcony. This trade says the professional side was inside the storm with transaction sizes capable of changing a clearing broker’s risk picture.</w:t>
      </w:r>
    </w:p>
    <w:p>
      <w:r>
        <w:rPr>
          <w:rFonts w:ascii="Calibri" w:hAnsi="Calibri" w:eastAsia="Calibri"/>
          <w:color w:val="1F252B"/>
        </w:rPr>
        <w:t>Second, it proves millisecond processing and manual intervention can distort what the clearing system thinks exists. That does not mean the system created a fake share. It means a processing mismatch can temporarily create a one-sided exposure that carries real collateral consequences. When people ask how a market can look balanced from far away while the pipes are screaming underneath, this is one documented answer.</w:t>
      </w:r>
    </w:p>
    <w:p>
      <w:r>
        <w:rPr>
          <w:rFonts w:ascii="Calibri" w:hAnsi="Calibri" w:eastAsia="Calibri"/>
          <w:color w:val="1F252B"/>
        </w:rPr>
        <w:t>Third, the record should be traceable. The submitting account, MPID, correspondent code, route, execution venue, contra-party, correction ticket, give-up or CMTA information, PAB or JBO allocation, and NSCC entry should not have evaporated. Those are records, not philosophical concepts. Somebody knows which proprietary firm sent the orders. Somebody knows who executed them. Somebody knows why the sell side could not process automatically. Yet the public report leaves the firm unnamed.</w:t>
      </w:r>
    </w:p>
    <w:p>
      <w:r>
        <w:rPr>
          <w:rFonts w:ascii="Calibri" w:hAnsi="Calibri" w:eastAsia="Calibri"/>
          <w:color w:val="1F252B"/>
        </w:rPr>
        <w:t>The honest conclusion is not, “The $385 million trade was criminal.” The honest conclusion is, “The trade is a major unresolved investigative target.” We do not yet know whether it was market making, facilitation, arbitrage, hedging, a systems error, or something manipulative. But when one anonymous AMC transaction can distort a clearing broker’s exposure during the same event that caused buying restrictions, anonymity is not closure. It is an invitation to subpoena the audit trail.</w:t>
      </w:r>
    </w:p>
    <w:p>
      <w:pPr>
        <w:pStyle w:val="Heading1"/>
        <w:ind w:left="0" w:right="0" w:firstLine="0"/>
        <w:jc w:val="left"/>
      </w:pPr>
      <w:r>
        <w:rPr>
          <w:rFonts w:ascii="Calibri" w:hAnsi="Calibri" w:eastAsia="Calibri"/>
          <w:b/>
          <w:color w:val="2E74B5"/>
          <w:sz w:val="32"/>
        </w:rPr>
        <w:t>The Identity Hunt: PEAK6 Is a Candidate, Not a Conviction</w:t>
      </w:r>
    </w:p>
    <w:p>
      <w:r>
        <w:rPr>
          <w:rFonts w:ascii="Calibri" w:hAnsi="Calibri" w:eastAsia="Calibri"/>
          <w:color w:val="1F252B"/>
        </w:rPr>
        <w:t>The next question is obvious: who was the proprietary firm?</w:t>
      </w:r>
    </w:p>
    <w:p>
      <w:r>
        <w:rPr>
          <w:rFonts w:ascii="Calibri" w:hAnsi="Calibri" w:eastAsia="Calibri"/>
          <w:color w:val="1F252B"/>
        </w:rPr>
        <w:t>The strongest public candidate is PEAK6 Capital Management, but I am choosing those words carefully. Candidate does not mean identified. Proximity does not mean guilt. A relationship does not mean the trade belongs to that account.</w:t>
      </w:r>
    </w:p>
    <w:p>
      <w:r>
        <w:rPr>
          <w:rFonts w:ascii="Calibri" w:hAnsi="Calibri" w:eastAsia="Calibri"/>
          <w:color w:val="1F252B"/>
        </w:rPr>
        <w:t>The Apex registration statement filed with the SEC in April 2021 provides the connection. PEAK6 Capital Management, also called CapMan, was a proprietary options trading group. It had a fully disclosed clearing agreement and a joint-back-office arrangement with Apex dating to January 2015. It maintained PAB accounts at Apex. During the January liquidity event, PEAK6 and PEAK6 Group also extended credit facilities to Apex that grew to a combined $170 million in commitments. The House investigation interviewed Apex’s chief compliance officer together with PEAK6’s chief corporate development and legal officer.</w:t>
      </w:r>
    </w:p>
    <w:p>
      <w:r>
        <w:rPr>
          <w:rFonts w:ascii="Calibri" w:hAnsi="Calibri" w:eastAsia="Calibri"/>
          <w:color w:val="1F252B"/>
        </w:rPr>
        <w:t>That combination places PEAK6 in the right structural neighborhood: proprietary trading, an Apex clearing relationship, joint-back-office access, PAB accounts, ownership proximity, and emergency financing. If you were building a candidate list for the unnamed Apex proprietary firm, PEAK6 belongs near the top.</w:t>
      </w:r>
    </w:p>
    <w:p>
      <w:r>
        <w:rPr>
          <w:rFonts w:ascii="Calibri" w:hAnsi="Calibri" w:eastAsia="Calibri"/>
          <w:color w:val="1F252B"/>
        </w:rPr>
        <w:t>But the same facts can have more than one explanation. PEAK6’s legal executive may have participated in the congressional interview because PEAK6 owned and financed Apex, not because CapMan submitted the trade. The public filing proves the relationship; it does not attach PEAK6’s name to the $385 million orders.</w:t>
      </w:r>
    </w:p>
    <w:p>
      <w:r>
        <w:rPr>
          <w:rFonts w:ascii="Calibri" w:hAnsi="Calibri" w:eastAsia="Calibri"/>
          <w:color w:val="1F252B"/>
        </w:rPr>
        <w:t>Citadel Securities is a weaker candidate for the Apex clearing-client role on the current public record. FINRA’s BrokerCheck report says Citadel Securities self-clears proprietary trades and identifies Goldman Sachs, J.P. Morgan, and BofA as clearing brokers. It does not identify Apex. That does not eliminate Citadel as an execution venue or contra-party. It simply means the public evidence supporting Citadel as the Apex customer is weaker than the evidence supporting PEAK6.</w:t>
      </w:r>
    </w:p>
    <w:p>
      <w:r>
        <w:rPr>
          <w:rFonts w:ascii="Calibri" w:hAnsi="Calibri" w:eastAsia="Calibri"/>
          <w:color w:val="1F252B"/>
        </w:rPr>
        <w:t>This is how a serious investigation works. We do not grab the biggest villain-shaped name and staple it to the trade. We map roles.</w:t>
      </w:r>
    </w:p>
    <w:p>
      <w:pPr>
        <w:spacing w:after="80" w:line="290" w:lineRule="auto"/>
        <w:numPr>
          <w:ilvl w:val="0"/>
          <w:numId w:val="10"/>
        </w:numPr>
      </w:pPr>
      <w:r>
        <w:rPr>
          <w:rFonts w:ascii="Calibri" w:hAnsi="Calibri" w:eastAsia="Calibri"/>
          <w:color w:val="1F252B"/>
        </w:rPr>
        <w:t xml:space="preserve">The </w:t>
      </w:r>
      <w:r>
        <w:rPr>
          <w:rFonts w:ascii="Calibri" w:hAnsi="Calibri" w:eastAsia="Calibri"/>
          <w:b/>
          <w:color w:val="1F252B"/>
        </w:rPr>
        <w:t>Apex client</w:t>
      </w:r>
      <w:r>
        <w:rPr>
          <w:rFonts w:ascii="Calibri" w:hAnsi="Calibri" w:eastAsia="Calibri"/>
          <w:color w:val="1F252B"/>
        </w:rPr>
        <w:t xml:space="preserve"> submitted the paired trade.</w:t>
      </w:r>
    </w:p>
    <w:p>
      <w:pPr>
        <w:spacing w:after="80" w:line="290" w:lineRule="auto"/>
        <w:numPr>
          <w:ilvl w:val="0"/>
          <w:numId w:val="10"/>
        </w:numPr>
      </w:pPr>
      <w:r>
        <w:rPr>
          <w:rFonts w:ascii="Calibri" w:hAnsi="Calibri" w:eastAsia="Calibri"/>
          <w:color w:val="1F252B"/>
        </w:rPr>
        <w:t xml:space="preserve">An </w:t>
      </w:r>
      <w:r>
        <w:rPr>
          <w:rFonts w:ascii="Calibri" w:hAnsi="Calibri" w:eastAsia="Calibri"/>
          <w:b/>
          <w:color w:val="1F252B"/>
        </w:rPr>
        <w:t>execution venue or market maker</w:t>
      </w:r>
      <w:r>
        <w:rPr>
          <w:rFonts w:ascii="Calibri" w:hAnsi="Calibri" w:eastAsia="Calibri"/>
          <w:color w:val="1F252B"/>
        </w:rPr>
        <w:t xml:space="preserve"> may have filled one or both sides.</w:t>
      </w:r>
    </w:p>
    <w:p>
      <w:pPr>
        <w:spacing w:after="80" w:line="290" w:lineRule="auto"/>
        <w:numPr>
          <w:ilvl w:val="0"/>
          <w:numId w:val="10"/>
        </w:numPr>
      </w:pPr>
      <w:r>
        <w:rPr>
          <w:rFonts w:ascii="Calibri" w:hAnsi="Calibri" w:eastAsia="Calibri"/>
          <w:color w:val="1F252B"/>
        </w:rPr>
        <w:t xml:space="preserve">Apex was the </w:t>
      </w:r>
      <w:r>
        <w:rPr>
          <w:rFonts w:ascii="Calibri" w:hAnsi="Calibri" w:eastAsia="Calibri"/>
          <w:b/>
          <w:color w:val="1F252B"/>
        </w:rPr>
        <w:t>clearing broker</w:t>
      </w:r>
      <w:r>
        <w:rPr>
          <w:rFonts w:ascii="Calibri" w:hAnsi="Calibri" w:eastAsia="Calibri"/>
          <w:color w:val="1F252B"/>
        </w:rPr>
        <w:t xml:space="preserve"> whose exposure became distorted.</w:t>
      </w:r>
    </w:p>
    <w:p>
      <w:pPr>
        <w:spacing w:after="80" w:line="290" w:lineRule="auto"/>
        <w:numPr>
          <w:ilvl w:val="0"/>
          <w:numId w:val="10"/>
        </w:numPr>
      </w:pPr>
      <w:r>
        <w:rPr>
          <w:rFonts w:ascii="Calibri" w:hAnsi="Calibri" w:eastAsia="Calibri"/>
          <w:color w:val="1F252B"/>
        </w:rPr>
        <w:t xml:space="preserve">NSCC was the </w:t>
      </w:r>
      <w:r>
        <w:rPr>
          <w:rFonts w:ascii="Calibri" w:hAnsi="Calibri" w:eastAsia="Calibri"/>
          <w:b/>
          <w:color w:val="1F252B"/>
        </w:rPr>
        <w:t>clearing agency</w:t>
      </w:r>
      <w:r>
        <w:rPr>
          <w:rFonts w:ascii="Calibri" w:hAnsi="Calibri" w:eastAsia="Calibri"/>
          <w:color w:val="1F252B"/>
        </w:rPr>
        <w:t xml:space="preserve"> calculating the deposit requirement.</w:t>
      </w:r>
    </w:p>
    <w:p>
      <w:pPr>
        <w:spacing w:after="80" w:line="290" w:lineRule="auto"/>
        <w:numPr>
          <w:ilvl w:val="0"/>
          <w:numId w:val="10"/>
        </w:numPr>
      </w:pPr>
      <w:r>
        <w:rPr>
          <w:rFonts w:ascii="Calibri" w:hAnsi="Calibri" w:eastAsia="Calibri"/>
          <w:color w:val="1F252B"/>
        </w:rPr>
        <w:t xml:space="preserve">PEAK6 was an </w:t>
      </w:r>
      <w:r>
        <w:rPr>
          <w:rFonts w:ascii="Calibri" w:hAnsi="Calibri" w:eastAsia="Calibri"/>
          <w:b/>
          <w:color w:val="1F252B"/>
        </w:rPr>
        <w:t>owner, financier, proprietary trader, and documented Apex counterparty</w:t>
      </w:r>
      <w:r>
        <w:rPr>
          <w:rFonts w:ascii="Calibri" w:hAnsi="Calibri" w:eastAsia="Calibri"/>
          <w:color w:val="1F252B"/>
        </w:rPr>
        <w:t>.</w:t>
      </w:r>
    </w:p>
    <w:p>
      <w:pPr>
        <w:spacing w:after="80" w:line="290" w:lineRule="auto"/>
        <w:numPr>
          <w:ilvl w:val="0"/>
          <w:numId w:val="10"/>
        </w:numPr>
      </w:pPr>
      <w:r>
        <w:rPr>
          <w:rFonts w:ascii="Calibri" w:hAnsi="Calibri" w:eastAsia="Calibri"/>
          <w:color w:val="1F252B"/>
        </w:rPr>
        <w:t xml:space="preserve">Citadel Securities was a </w:t>
      </w:r>
      <w:r>
        <w:rPr>
          <w:rFonts w:ascii="Calibri" w:hAnsi="Calibri" w:eastAsia="Calibri"/>
          <w:b/>
          <w:color w:val="1F252B"/>
        </w:rPr>
        <w:t>major execution and routing firm</w:t>
      </w:r>
      <w:r>
        <w:rPr>
          <w:rFonts w:ascii="Calibri" w:hAnsi="Calibri" w:eastAsia="Calibri"/>
          <w:color w:val="1F252B"/>
        </w:rPr>
        <w:t>, but no public document reviewed here links it to the submitting Apex account.</w:t>
      </w:r>
    </w:p>
    <w:p>
      <w:r>
        <w:rPr>
          <w:rFonts w:ascii="Calibri" w:hAnsi="Calibri" w:eastAsia="Calibri"/>
          <w:color w:val="1F252B"/>
        </w:rPr>
        <w:t>The trade identity is still open. The target is not another theory. The target is the account master and order trail.</w:t>
      </w:r>
    </w:p>
    <w:p>
      <w:pPr>
        <w:pStyle w:val="Heading1"/>
        <w:ind w:left="0" w:right="0" w:firstLine="0"/>
        <w:jc w:val="left"/>
      </w:pPr>
      <w:r>
        <w:rPr>
          <w:rFonts w:ascii="Calibri" w:hAnsi="Calibri" w:eastAsia="Calibri"/>
          <w:b/>
          <w:color w:val="2E74B5"/>
          <w:sz w:val="32"/>
        </w:rPr>
        <w:t>June Was Not a Side Story</w:t>
      </w:r>
    </w:p>
    <w:p>
      <w:r>
        <w:rPr>
          <w:rFonts w:ascii="Calibri" w:hAnsi="Calibri" w:eastAsia="Calibri"/>
          <w:color w:val="1F252B"/>
        </w:rPr>
        <w:t>Now we reach the chapter that has been treated like a montage when it should have been treated like a crime-scene timeline.</w:t>
      </w:r>
    </w:p>
    <w:p>
      <w:r>
        <w:rPr>
          <w:rFonts w:ascii="Calibri" w:hAnsi="Calibri" w:eastAsia="Calibri"/>
          <w:color w:val="1F252B"/>
        </w:rPr>
        <w:t>On May 28, 2021, FINRA reported 102,303,320 AMC shares short. On June 1, AMC issued 8.5 million shares to Mudrick at $27.12 per share. Financial reporting said Mudrick resold the position that day. On June 2, AMC reached $72.62 during regular NYSE trading and closed at $62.55. AMC reported 501,780,240 shares outstanding. On June 3, AMC completed an 11.55 million-share at-the-market sale at an average price of $50.85.</w:t>
      </w:r>
    </w:p>
    <w:p>
      <w:r>
        <w:rPr>
          <w:rFonts w:ascii="Calibri" w:hAnsi="Calibri" w:eastAsia="Calibri"/>
          <w:color w:val="1F252B"/>
        </w:rPr>
        <w:t>Then the price began the journey that everybody remembers and too few people have reconstructed against the settlement record.</w:t>
      </w:r>
    </w:p>
    <w:p>
      <w:r>
        <w:rPr>
          <w:rFonts w:ascii="Calibri" w:hAnsi="Calibri" w:eastAsia="Calibri"/>
          <w:color w:val="1F252B"/>
        </w:rPr>
        <w:t>By July 14, AMC closed at $33.43. From the June 2 high, that was a 53.96% decline in 42 calendar days. If someone remembers a number around $77, use it only if they can identify the venue and session. The company’s own SEC filing gives $72.62 as the defensible regular-session NYSE high. We do not need a bigger number to make the collapse dramatic. Fifty-four percent is dramatic enough.</w:t>
      </w:r>
    </w:p>
    <w:p>
      <w:r>
        <w:rPr>
          <w:rFonts w:ascii="Calibri" w:hAnsi="Calibri" w:eastAsia="Calibri"/>
          <w:color w:val="1F252B"/>
        </w:rPr>
        <w:t>During this period, the public explanations were familiar: momentum cooled, traders took profits, option hedges came off, dilution increased supply, COVID and theater risk remained, and shorts continued to express a bearish view. Those mechanisms are real. A serious report does not pretend normal selling disappears because we dislike the result.</w:t>
      </w:r>
    </w:p>
    <w:p>
      <w:r>
        <w:rPr>
          <w:rFonts w:ascii="Calibri" w:hAnsi="Calibri" w:eastAsia="Calibri"/>
          <w:color w:val="1F252B"/>
        </w:rPr>
        <w:t>But the normal explanation does not answer the full record.</w:t>
      </w:r>
    </w:p>
    <w:p>
      <w:r>
        <w:rPr>
          <w:rFonts w:ascii="Calibri" w:hAnsi="Calibri" w:eastAsia="Calibri"/>
          <w:color w:val="1F252B"/>
        </w:rPr>
        <w:t>Why did AMC develop a persistent multi-million-share fail-to-deliver cluster? Why did it enter the threshold list on June 25? Which NSCC participants carried the fails? Which trades generated them? Which positions were closed when the aggregate balance collapsed in early July? How much retail flow was internalized by each wholesaler? What was the net option delta at Citadel Securities and Citadel Advisors? Did option hedging amplify the decline? Were short-sale markings, locates, and closeouts accurate? Did any participant use options for sham closeouts? Did large sell programs reflect real beneficial owners, market-maker hedges, new short exposure, or matched activity?</w:t>
      </w:r>
    </w:p>
    <w:p>
      <w:r>
        <w:rPr>
          <w:rFonts w:ascii="Calibri" w:hAnsi="Calibri" w:eastAsia="Calibri"/>
          <w:color w:val="1F252B"/>
        </w:rPr>
        <w:t>Public data tell us the condition existed. They do not tell us the account behind it. That is the transparency gap.</w:t>
      </w:r>
    </w:p>
    <w:p>
      <w:pPr>
        <w:pStyle w:val="Heading1"/>
        <w:ind w:left="0" w:right="0" w:firstLine="0"/>
        <w:jc w:val="left"/>
      </w:pPr>
      <w:r>
        <w:rPr>
          <w:rFonts w:ascii="Calibri" w:hAnsi="Calibri" w:eastAsia="Calibri"/>
          <w:b/>
          <w:color w:val="2E74B5"/>
          <w:sz w:val="32"/>
        </w:rPr>
        <w:t>The 42-Day Ledger</w:t>
      </w:r>
    </w:p>
    <w:tbl>
      <w:tblPr>
        <w:tblW w:type="dxa" w:w="9360"/>
        <w:tblLayout w:type="fixed"/>
        <w:tblLook w:firstColumn="1" w:firstRow="1" w:lastColumn="0" w:lastRow="0" w:noHBand="0" w:noVBand="1" w:val="04A0"/>
        <w:jc w:val="center"/>
        <w:tblBorders>
          <w:top w:val="single" w:sz="4" w:space="0" w:color="C8D0D8"/>
          <w:left w:val="single" w:sz="4" w:space="0" w:color="C8D0D8"/>
          <w:bottom w:val="single" w:sz="4" w:space="0" w:color="C8D0D8"/>
          <w:right w:val="single" w:sz="4" w:space="0" w:color="C8D0D8"/>
          <w:insideH w:val="single" w:sz="4" w:space="0" w:color="C8D0D8"/>
          <w:insideV w:val="single" w:sz="4" w:space="0" w:color="C8D0D8"/>
        </w:tblBorders>
      </w:tblPr>
      <w:tblGrid>
        <w:gridCol w:w="1300"/>
        <w:gridCol w:w="3000"/>
        <w:gridCol w:w="5060"/>
      </w:tblGrid>
      <w:tr>
        <w:trPr>
          <w:cantSplit/>
          <w:tblHeader w:val="true"/>
        </w:trPr>
        <w:tc>
          <w:tcPr>
            <w:tcW w:type="dxa" w:w="1300"/>
            <w:vAlign w:val="center"/>
            <w:tcMar>
              <w:top w:w="80" w:type="dxa"/>
              <w:start w:w="120" w:type="dxa"/>
              <w:bottom w:w="80" w:type="dxa"/>
              <w:end w:w="120" w:type="dxa"/>
            </w:tcMar>
            <w:shd w:fill="163A59"/>
          </w:tcPr>
          <w:p>
            <w:pPr>
              <w:pStyle w:val="TableText"/>
              <w:jc w:val="left"/>
            </w:pPr>
            <w:r>
              <w:rPr>
                <w:rFonts w:ascii="Calibri" w:hAnsi="Calibri" w:eastAsia="Calibri"/>
                <w:b/>
                <w:color w:val="FFFFFF"/>
                <w:sz w:val="18"/>
              </w:rPr>
              <w:t>Date</w:t>
            </w:r>
          </w:p>
        </w:tc>
        <w:tc>
          <w:tcPr>
            <w:tcW w:type="dxa" w:w="3000"/>
            <w:vAlign w:val="center"/>
            <w:tcMar>
              <w:top w:w="80" w:type="dxa"/>
              <w:start w:w="120" w:type="dxa"/>
              <w:bottom w:w="80" w:type="dxa"/>
              <w:end w:w="120" w:type="dxa"/>
            </w:tcMar>
            <w:shd w:fill="163A59"/>
          </w:tcPr>
          <w:p>
            <w:pPr>
              <w:pStyle w:val="TableText"/>
              <w:jc w:val="left"/>
            </w:pPr>
            <w:r>
              <w:rPr>
                <w:rFonts w:ascii="Calibri" w:hAnsi="Calibri" w:eastAsia="Calibri"/>
                <w:b/>
                <w:color w:val="FFFFFF"/>
                <w:sz w:val="18"/>
              </w:rPr>
              <w:t>Documented event</w:t>
            </w:r>
          </w:p>
        </w:tc>
        <w:tc>
          <w:tcPr>
            <w:tcW w:type="dxa" w:w="5060"/>
            <w:vAlign w:val="center"/>
            <w:tcMar>
              <w:top w:w="80" w:type="dxa"/>
              <w:start w:w="120" w:type="dxa"/>
              <w:bottom w:w="80" w:type="dxa"/>
              <w:end w:w="120" w:type="dxa"/>
            </w:tcMar>
            <w:shd w:fill="163A59"/>
          </w:tcPr>
          <w:p>
            <w:pPr>
              <w:pStyle w:val="TableText"/>
              <w:jc w:val="left"/>
            </w:pPr>
            <w:r>
              <w:rPr>
                <w:rFonts w:ascii="Calibri" w:hAnsi="Calibri" w:eastAsia="Calibri"/>
                <w:b/>
                <w:color w:val="FFFFFF"/>
                <w:sz w:val="18"/>
              </w:rPr>
              <w:t>Why it matters</w:t>
            </w:r>
          </w:p>
        </w:tc>
      </w:tr>
      <w:tr>
        <w:trPr>
          <w:cantSplit/>
        </w:trPr>
        <w:tc>
          <w:tcPr>
            <w:tcW w:type="dxa" w:w="1300"/>
            <w:vAlign w:val="center"/>
            <w:tcMar>
              <w:top w:w="80" w:type="dxa"/>
              <w:start w:w="120" w:type="dxa"/>
              <w:bottom w:w="80" w:type="dxa"/>
              <w:end w:w="120" w:type="dxa"/>
            </w:tcMar>
          </w:tcPr>
          <w:p>
            <w:pPr>
              <w:pStyle w:val="TableText"/>
              <w:jc w:val="left"/>
            </w:pPr>
            <w:r>
              <w:rPr>
                <w:rFonts w:ascii="Calibri" w:hAnsi="Calibri" w:eastAsia="Calibri"/>
                <w:color w:val="1F252B"/>
                <w:sz w:val="18"/>
              </w:rPr>
              <w:t>May 28</w:t>
            </w:r>
          </w:p>
        </w:tc>
        <w:tc>
          <w:tcPr>
            <w:tcW w:type="dxa" w:w="3000"/>
            <w:vAlign w:val="center"/>
            <w:tcMar>
              <w:top w:w="80" w:type="dxa"/>
              <w:start w:w="120" w:type="dxa"/>
              <w:bottom w:w="80" w:type="dxa"/>
              <w:end w:w="120" w:type="dxa"/>
            </w:tcMar>
          </w:tcPr>
          <w:p>
            <w:pPr>
              <w:pStyle w:val="TableText"/>
              <w:jc w:val="left"/>
            </w:pPr>
            <w:r>
              <w:rPr>
                <w:rFonts w:ascii="Calibri" w:hAnsi="Calibri" w:eastAsia="Calibri"/>
                <w:color w:val="1F252B"/>
                <w:sz w:val="18"/>
              </w:rPr>
              <w:t>FINRA reported 102.303 million AMC shares short.</w:t>
            </w:r>
          </w:p>
        </w:tc>
        <w:tc>
          <w:tcPr>
            <w:tcW w:type="dxa" w:w="5060"/>
            <w:vAlign w:val="center"/>
            <w:tcMar>
              <w:top w:w="80" w:type="dxa"/>
              <w:start w:w="120" w:type="dxa"/>
              <w:bottom w:w="80" w:type="dxa"/>
              <w:end w:w="120" w:type="dxa"/>
            </w:tcMar>
          </w:tcPr>
          <w:p>
            <w:pPr>
              <w:pStyle w:val="TableText"/>
              <w:jc w:val="left"/>
            </w:pPr>
            <w:r>
              <w:rPr>
                <w:rFonts w:ascii="Calibri" w:hAnsi="Calibri" w:eastAsia="Calibri"/>
                <w:color w:val="1F252B"/>
                <w:sz w:val="18"/>
              </w:rPr>
              <w:t>Large reported short interest remained immediately before the June run.</w:t>
            </w:r>
          </w:p>
        </w:tc>
      </w:tr>
      <w:tr>
        <w:trPr>
          <w:cantSplit/>
        </w:trPr>
        <w:tc>
          <w:tcPr>
            <w:tcW w:type="dxa" w:w="13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June 1</w:t>
            </w:r>
          </w:p>
        </w:tc>
        <w:tc>
          <w:tcPr>
            <w:tcW w:type="dxa" w:w="30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AMC issued 8.5 million shares to Mudrick at $27.12.</w:t>
            </w:r>
          </w:p>
        </w:tc>
        <w:tc>
          <w:tcPr>
            <w:tcW w:type="dxa" w:w="506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New deliverable inventory entered the market. Same-day resale was reported but is not identified in a public Mudrick trade filing.</w:t>
            </w:r>
          </w:p>
        </w:tc>
      </w:tr>
      <w:tr>
        <w:trPr>
          <w:cantSplit/>
        </w:trPr>
        <w:tc>
          <w:tcPr>
            <w:tcW w:type="dxa" w:w="1300"/>
            <w:vAlign w:val="center"/>
            <w:tcMar>
              <w:top w:w="80" w:type="dxa"/>
              <w:start w:w="120" w:type="dxa"/>
              <w:bottom w:w="80" w:type="dxa"/>
              <w:end w:w="120" w:type="dxa"/>
            </w:tcMar>
          </w:tcPr>
          <w:p>
            <w:pPr>
              <w:pStyle w:val="TableText"/>
              <w:jc w:val="left"/>
            </w:pPr>
            <w:r>
              <w:rPr>
                <w:rFonts w:ascii="Calibri" w:hAnsi="Calibri" w:eastAsia="Calibri"/>
                <w:color w:val="1F252B"/>
                <w:sz w:val="18"/>
              </w:rPr>
              <w:t>June 2</w:t>
            </w:r>
          </w:p>
        </w:tc>
        <w:tc>
          <w:tcPr>
            <w:tcW w:type="dxa" w:w="3000"/>
            <w:vAlign w:val="center"/>
            <w:tcMar>
              <w:top w:w="80" w:type="dxa"/>
              <w:start w:w="120" w:type="dxa"/>
              <w:bottom w:w="80" w:type="dxa"/>
              <w:end w:w="120" w:type="dxa"/>
            </w:tcMar>
          </w:tcPr>
          <w:p>
            <w:pPr>
              <w:pStyle w:val="TableText"/>
              <w:jc w:val="left"/>
            </w:pPr>
            <w:r>
              <w:rPr>
                <w:rFonts w:ascii="Calibri" w:hAnsi="Calibri" w:eastAsia="Calibri"/>
                <w:color w:val="1F252B"/>
                <w:sz w:val="18"/>
              </w:rPr>
              <w:t>AMC reached $72.62 intraday and closed $62.55; 501.780 million shares were outstanding.</w:t>
            </w:r>
          </w:p>
        </w:tc>
        <w:tc>
          <w:tcPr>
            <w:tcW w:type="dxa" w:w="5060"/>
            <w:vAlign w:val="center"/>
            <w:tcMar>
              <w:top w:w="80" w:type="dxa"/>
              <w:start w:w="120" w:type="dxa"/>
              <w:bottom w:w="80" w:type="dxa"/>
              <w:end w:w="120" w:type="dxa"/>
            </w:tcMar>
          </w:tcPr>
          <w:p>
            <w:pPr>
              <w:pStyle w:val="TableText"/>
              <w:jc w:val="left"/>
            </w:pPr>
            <w:r>
              <w:rPr>
                <w:rFonts w:ascii="Calibri" w:hAnsi="Calibri" w:eastAsia="Calibri"/>
                <w:color w:val="1F252B"/>
                <w:sz w:val="18"/>
              </w:rPr>
              <w:t>Verified regular-session reference high and share-count denominator.</w:t>
            </w:r>
          </w:p>
        </w:tc>
      </w:tr>
      <w:tr>
        <w:trPr>
          <w:cantSplit/>
        </w:trPr>
        <w:tc>
          <w:tcPr>
            <w:tcW w:type="dxa" w:w="13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June 3</w:t>
            </w:r>
          </w:p>
        </w:tc>
        <w:tc>
          <w:tcPr>
            <w:tcW w:type="dxa" w:w="30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AMC completed an 11.55 million-share ATM at $50.85 average; FTD balance reached 5.448 million.</w:t>
            </w:r>
          </w:p>
        </w:tc>
        <w:tc>
          <w:tcPr>
            <w:tcW w:type="dxa" w:w="506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The FTD settlement date corresponds to June 1 trading under T+2, making issuance-related delivery one plausible source, not a proven source.</w:t>
            </w:r>
          </w:p>
        </w:tc>
      </w:tr>
      <w:tr>
        <w:trPr>
          <w:cantSplit/>
        </w:trPr>
        <w:tc>
          <w:tcPr>
            <w:tcW w:type="dxa" w:w="1300"/>
            <w:vAlign w:val="center"/>
            <w:tcMar>
              <w:top w:w="80" w:type="dxa"/>
              <w:start w:w="120" w:type="dxa"/>
              <w:bottom w:w="80" w:type="dxa"/>
              <w:end w:w="120" w:type="dxa"/>
            </w:tcMar>
          </w:tcPr>
          <w:p>
            <w:pPr>
              <w:pStyle w:val="TableText"/>
              <w:jc w:val="left"/>
            </w:pPr>
            <w:r>
              <w:rPr>
                <w:rFonts w:ascii="Calibri" w:hAnsi="Calibri" w:eastAsia="Calibri"/>
                <w:color w:val="1F252B"/>
                <w:sz w:val="18"/>
              </w:rPr>
              <w:t>June 15</w:t>
            </w:r>
          </w:p>
        </w:tc>
        <w:tc>
          <w:tcPr>
            <w:tcW w:type="dxa" w:w="3000"/>
            <w:vAlign w:val="center"/>
            <w:tcMar>
              <w:top w:w="80" w:type="dxa"/>
              <w:start w:w="120" w:type="dxa"/>
              <w:bottom w:w="80" w:type="dxa"/>
              <w:end w:w="120" w:type="dxa"/>
            </w:tcMar>
          </w:tcPr>
          <w:p>
            <w:pPr>
              <w:pStyle w:val="TableText"/>
              <w:jc w:val="left"/>
            </w:pPr>
            <w:r>
              <w:rPr>
                <w:rFonts w:ascii="Calibri" w:hAnsi="Calibri" w:eastAsia="Calibri"/>
                <w:color w:val="1F252B"/>
                <w:sz w:val="18"/>
              </w:rPr>
              <w:t>FINRA reported 85.076 million shares short.</w:t>
            </w:r>
          </w:p>
        </w:tc>
        <w:tc>
          <w:tcPr>
            <w:tcW w:type="dxa" w:w="5060"/>
            <w:vAlign w:val="center"/>
            <w:tcMar>
              <w:top w:w="80" w:type="dxa"/>
              <w:start w:w="120" w:type="dxa"/>
              <w:bottom w:w="80" w:type="dxa"/>
              <w:end w:w="120" w:type="dxa"/>
            </w:tcMar>
          </w:tcPr>
          <w:p>
            <w:pPr>
              <w:pStyle w:val="TableText"/>
              <w:jc w:val="left"/>
            </w:pPr>
            <w:r>
              <w:rPr>
                <w:rFonts w:ascii="Calibri" w:hAnsi="Calibri" w:eastAsia="Calibri"/>
                <w:color w:val="1F252B"/>
                <w:sz w:val="18"/>
              </w:rPr>
              <w:t>Short interest fell but remained enormous in absolute terms.</w:t>
            </w:r>
          </w:p>
        </w:tc>
      </w:tr>
      <w:tr>
        <w:trPr>
          <w:cantSplit/>
        </w:trPr>
        <w:tc>
          <w:tcPr>
            <w:tcW w:type="dxa" w:w="13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June 18–30</w:t>
            </w:r>
          </w:p>
        </w:tc>
        <w:tc>
          <w:tcPr>
            <w:tcW w:type="dxa" w:w="30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FTD balances rose into a sustained range of roughly 3.56–4.42 million shares.</w:t>
            </w:r>
          </w:p>
        </w:tc>
        <w:tc>
          <w:tcPr>
            <w:tcW w:type="dxa" w:w="506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A persistent settlement cluster developed.</w:t>
            </w:r>
          </w:p>
        </w:tc>
      </w:tr>
      <w:tr>
        <w:trPr>
          <w:cantSplit/>
        </w:trPr>
        <w:tc>
          <w:tcPr>
            <w:tcW w:type="dxa" w:w="1300"/>
            <w:vAlign w:val="center"/>
            <w:tcMar>
              <w:top w:w="80" w:type="dxa"/>
              <w:start w:w="120" w:type="dxa"/>
              <w:bottom w:w="80" w:type="dxa"/>
              <w:end w:w="120" w:type="dxa"/>
            </w:tcMar>
          </w:tcPr>
          <w:p>
            <w:pPr>
              <w:pStyle w:val="TableText"/>
              <w:jc w:val="left"/>
            </w:pPr>
            <w:r>
              <w:rPr>
                <w:rFonts w:ascii="Calibri" w:hAnsi="Calibri" w:eastAsia="Calibri"/>
                <w:color w:val="1F252B"/>
                <w:sz w:val="18"/>
              </w:rPr>
              <w:t>June 25</w:t>
            </w:r>
          </w:p>
        </w:tc>
        <w:tc>
          <w:tcPr>
            <w:tcW w:type="dxa" w:w="3000"/>
            <w:vAlign w:val="center"/>
            <w:tcMar>
              <w:top w:w="80" w:type="dxa"/>
              <w:start w:w="120" w:type="dxa"/>
              <w:bottom w:w="80" w:type="dxa"/>
              <w:end w:w="120" w:type="dxa"/>
            </w:tcMar>
          </w:tcPr>
          <w:p>
            <w:pPr>
              <w:pStyle w:val="TableText"/>
              <w:jc w:val="left"/>
            </w:pPr>
            <w:r>
              <w:rPr>
                <w:rFonts w:ascii="Calibri" w:hAnsi="Calibri" w:eastAsia="Calibri"/>
                <w:color w:val="1F252B"/>
                <w:sz w:val="18"/>
              </w:rPr>
              <w:t>AMC entered the NYSE Regulation SHO threshold list.</w:t>
            </w:r>
          </w:p>
        </w:tc>
        <w:tc>
          <w:tcPr>
            <w:tcW w:type="dxa" w:w="5060"/>
            <w:vAlign w:val="center"/>
            <w:tcMar>
              <w:top w:w="80" w:type="dxa"/>
              <w:start w:w="120" w:type="dxa"/>
              <w:bottom w:w="80" w:type="dxa"/>
              <w:end w:w="120" w:type="dxa"/>
            </w:tcMar>
          </w:tcPr>
          <w:p>
            <w:pPr>
              <w:pStyle w:val="TableText"/>
              <w:jc w:val="left"/>
            </w:pPr>
            <w:r>
              <w:rPr>
                <w:rFonts w:ascii="Calibri" w:hAnsi="Calibri" w:eastAsia="Calibri"/>
                <w:color w:val="1F252B"/>
                <w:sz w:val="18"/>
              </w:rPr>
              <w:t>The fail condition met the rule’s persistence and size tests.</w:t>
            </w:r>
          </w:p>
        </w:tc>
      </w:tr>
      <w:tr>
        <w:trPr>
          <w:cantSplit/>
        </w:trPr>
        <w:tc>
          <w:tcPr>
            <w:tcW w:type="dxa" w:w="13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June 28–30</w:t>
            </w:r>
          </w:p>
        </w:tc>
        <w:tc>
          <w:tcPr>
            <w:tcW w:type="dxa" w:w="30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FINRA short-marked volume equaled 51.62%, 56.32%, and 54.41% of its off-exchange AMC volume.</w:t>
            </w:r>
          </w:p>
        </w:tc>
        <w:tc>
          <w:tcPr>
            <w:tcW w:type="dxa" w:w="506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High short-marked off-exchange execution overlapped the decline.</w:t>
            </w:r>
          </w:p>
        </w:tc>
      </w:tr>
      <w:tr>
        <w:trPr>
          <w:cantSplit/>
        </w:trPr>
        <w:tc>
          <w:tcPr>
            <w:tcW w:type="dxa" w:w="1300"/>
            <w:vAlign w:val="center"/>
            <w:tcMar>
              <w:top w:w="80" w:type="dxa"/>
              <w:start w:w="120" w:type="dxa"/>
              <w:bottom w:w="80" w:type="dxa"/>
              <w:end w:w="120" w:type="dxa"/>
            </w:tcMar>
          </w:tcPr>
          <w:p>
            <w:pPr>
              <w:pStyle w:val="TableText"/>
              <w:jc w:val="left"/>
            </w:pPr>
            <w:r>
              <w:rPr>
                <w:rFonts w:ascii="Calibri" w:hAnsi="Calibri" w:eastAsia="Calibri"/>
                <w:color w:val="1F252B"/>
                <w:sz w:val="18"/>
              </w:rPr>
              <w:t>June 30</w:t>
            </w:r>
          </w:p>
        </w:tc>
        <w:tc>
          <w:tcPr>
            <w:tcW w:type="dxa" w:w="3000"/>
            <w:vAlign w:val="center"/>
            <w:tcMar>
              <w:top w:w="80" w:type="dxa"/>
              <w:start w:w="120" w:type="dxa"/>
              <w:bottom w:w="80" w:type="dxa"/>
              <w:end w:w="120" w:type="dxa"/>
            </w:tcMar>
          </w:tcPr>
          <w:p>
            <w:pPr>
              <w:pStyle w:val="TableText"/>
              <w:jc w:val="left"/>
            </w:pPr>
            <w:r>
              <w:rPr>
                <w:rFonts w:ascii="Calibri" w:hAnsi="Calibri" w:eastAsia="Calibri"/>
                <w:color w:val="1F252B"/>
                <w:sz w:val="18"/>
              </w:rPr>
              <w:t>FINRA reported 75.480 million shares short; Citadel Advisors and PEAK6 filed quarter-end AMC positions.</w:t>
            </w:r>
          </w:p>
        </w:tc>
        <w:tc>
          <w:tcPr>
            <w:tcW w:type="dxa" w:w="5060"/>
            <w:vAlign w:val="center"/>
            <w:tcMar>
              <w:top w:w="80" w:type="dxa"/>
              <w:start w:w="120" w:type="dxa"/>
              <w:bottom w:w="80" w:type="dxa"/>
              <w:end w:w="120" w:type="dxa"/>
            </w:tcMar>
          </w:tcPr>
          <w:p>
            <w:pPr>
              <w:pStyle w:val="TableText"/>
              <w:jc w:val="left"/>
            </w:pPr>
            <w:r>
              <w:rPr>
                <w:rFonts w:ascii="Calibri" w:hAnsi="Calibri" w:eastAsia="Calibri"/>
                <w:color w:val="1F252B"/>
                <w:sz w:val="18"/>
              </w:rPr>
              <w:t>Common measurement date for reported short interest and disclosed manager exposure.</w:t>
            </w:r>
          </w:p>
        </w:tc>
      </w:tr>
      <w:tr>
        <w:trPr>
          <w:cantSplit/>
        </w:trPr>
        <w:tc>
          <w:tcPr>
            <w:tcW w:type="dxa" w:w="13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July 1–2</w:t>
            </w:r>
          </w:p>
        </w:tc>
        <w:tc>
          <w:tcPr>
            <w:tcW w:type="dxa" w:w="30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FTD balances were 3.519 million and 2.249 million.</w:t>
            </w:r>
          </w:p>
        </w:tc>
        <w:tc>
          <w:tcPr>
            <w:tcW w:type="dxa" w:w="506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Material settlement imbalance continued into July.</w:t>
            </w:r>
          </w:p>
        </w:tc>
      </w:tr>
      <w:tr>
        <w:trPr>
          <w:cantSplit/>
        </w:trPr>
        <w:tc>
          <w:tcPr>
            <w:tcW w:type="dxa" w:w="1300"/>
            <w:vAlign w:val="center"/>
            <w:tcMar>
              <w:top w:w="80" w:type="dxa"/>
              <w:start w:w="120" w:type="dxa"/>
              <w:bottom w:w="80" w:type="dxa"/>
              <w:end w:w="120" w:type="dxa"/>
            </w:tcMar>
          </w:tcPr>
          <w:p>
            <w:pPr>
              <w:pStyle w:val="TableText"/>
              <w:jc w:val="left"/>
            </w:pPr>
            <w:r>
              <w:rPr>
                <w:rFonts w:ascii="Calibri" w:hAnsi="Calibri" w:eastAsia="Calibri"/>
                <w:color w:val="1F252B"/>
                <w:sz w:val="18"/>
              </w:rPr>
              <w:t>July 6</w:t>
            </w:r>
          </w:p>
        </w:tc>
        <w:tc>
          <w:tcPr>
            <w:tcW w:type="dxa" w:w="3000"/>
            <w:vAlign w:val="center"/>
            <w:tcMar>
              <w:top w:w="80" w:type="dxa"/>
              <w:start w:w="120" w:type="dxa"/>
              <w:bottom w:w="80" w:type="dxa"/>
              <w:end w:w="120" w:type="dxa"/>
            </w:tcMar>
          </w:tcPr>
          <w:p>
            <w:pPr>
              <w:pStyle w:val="TableText"/>
              <w:jc w:val="left"/>
            </w:pPr>
            <w:r>
              <w:rPr>
                <w:rFonts w:ascii="Calibri" w:hAnsi="Calibri" w:eastAsia="Calibri"/>
                <w:color w:val="1F252B"/>
                <w:sz w:val="18"/>
              </w:rPr>
              <w:t>FTD balance fell to 41,296.</w:t>
            </w:r>
          </w:p>
        </w:tc>
        <w:tc>
          <w:tcPr>
            <w:tcW w:type="dxa" w:w="5060"/>
            <w:vAlign w:val="center"/>
            <w:tcMar>
              <w:top w:w="80" w:type="dxa"/>
              <w:start w:w="120" w:type="dxa"/>
              <w:bottom w:w="80" w:type="dxa"/>
              <w:end w:w="120" w:type="dxa"/>
            </w:tcMar>
          </w:tcPr>
          <w:p>
            <w:pPr>
              <w:pStyle w:val="TableText"/>
              <w:jc w:val="left"/>
            </w:pPr>
            <w:r>
              <w:rPr>
                <w:rFonts w:ascii="Calibri" w:hAnsi="Calibri" w:eastAsia="Calibri"/>
                <w:color w:val="1F252B"/>
                <w:sz w:val="18"/>
              </w:rPr>
              <w:t>A large aggregate settlement reduction occurred, but public data do not identify who delivered or how.</w:t>
            </w:r>
          </w:p>
        </w:tc>
      </w:tr>
      <w:tr>
        <w:trPr>
          <w:cantSplit/>
        </w:trPr>
        <w:tc>
          <w:tcPr>
            <w:tcW w:type="dxa" w:w="13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July 8–9</w:t>
            </w:r>
          </w:p>
        </w:tc>
        <w:tc>
          <w:tcPr>
            <w:tcW w:type="dxa" w:w="30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AMC remained on the threshold list through July 8 and was absent July 9.</w:t>
            </w:r>
          </w:p>
        </w:tc>
        <w:tc>
          <w:tcPr>
            <w:tcW w:type="dxa" w:w="506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The threshold episode has a defined public end.</w:t>
            </w:r>
          </w:p>
        </w:tc>
      </w:tr>
      <w:tr>
        <w:trPr>
          <w:cantSplit/>
        </w:trPr>
        <w:tc>
          <w:tcPr>
            <w:tcW w:type="dxa" w:w="1300"/>
            <w:vAlign w:val="center"/>
            <w:tcMar>
              <w:top w:w="80" w:type="dxa"/>
              <w:start w:w="120" w:type="dxa"/>
              <w:bottom w:w="80" w:type="dxa"/>
              <w:end w:w="120" w:type="dxa"/>
            </w:tcMar>
          </w:tcPr>
          <w:p>
            <w:pPr>
              <w:pStyle w:val="TableText"/>
              <w:jc w:val="left"/>
            </w:pPr>
            <w:r>
              <w:rPr>
                <w:rFonts w:ascii="Calibri" w:hAnsi="Calibri" w:eastAsia="Calibri"/>
                <w:color w:val="1F252B"/>
                <w:sz w:val="18"/>
              </w:rPr>
              <w:t>July 14–15</w:t>
            </w:r>
          </w:p>
        </w:tc>
        <w:tc>
          <w:tcPr>
            <w:tcW w:type="dxa" w:w="3000"/>
            <w:vAlign w:val="center"/>
            <w:tcMar>
              <w:top w:w="80" w:type="dxa"/>
              <w:start w:w="120" w:type="dxa"/>
              <w:bottom w:w="80" w:type="dxa"/>
              <w:end w:w="120" w:type="dxa"/>
            </w:tcMar>
          </w:tcPr>
          <w:p>
            <w:pPr>
              <w:pStyle w:val="TableText"/>
              <w:jc w:val="left"/>
            </w:pPr>
            <w:r>
              <w:rPr>
                <w:rFonts w:ascii="Calibri" w:hAnsi="Calibri" w:eastAsia="Calibri"/>
                <w:color w:val="1F252B"/>
                <w:sz w:val="18"/>
              </w:rPr>
              <w:t>AMC closed $33.43; FINRA reported 79.748 million shares short the next day.</w:t>
            </w:r>
          </w:p>
        </w:tc>
        <w:tc>
          <w:tcPr>
            <w:tcW w:type="dxa" w:w="5060"/>
            <w:vAlign w:val="center"/>
            <w:tcMar>
              <w:top w:w="80" w:type="dxa"/>
              <w:start w:w="120" w:type="dxa"/>
              <w:bottom w:w="80" w:type="dxa"/>
              <w:end w:w="120" w:type="dxa"/>
            </w:tcMar>
          </w:tcPr>
          <w:p>
            <w:pPr>
              <w:pStyle w:val="TableText"/>
              <w:jc w:val="left"/>
            </w:pPr>
            <w:r>
              <w:rPr>
                <w:rFonts w:ascii="Calibri" w:hAnsi="Calibri" w:eastAsia="Calibri"/>
                <w:color w:val="1F252B"/>
                <w:sz w:val="18"/>
              </w:rPr>
              <w:t>Price had lost 53.96% while short interest increased 5.65% from the June 30 snapshot.</w:t>
            </w:r>
          </w:p>
        </w:tc>
      </w:tr>
    </w:tbl>
    <w:p>
      <w:pPr>
        <w:spacing w:after="0"/>
      </w:pPr>
    </w:p>
    <w:p>
      <w:pPr>
        <w:pStyle w:val="Heading1"/>
        <w:ind w:left="0" w:right="0" w:firstLine="0"/>
        <w:jc w:val="left"/>
      </w:pPr>
      <w:r>
        <w:rPr>
          <w:rFonts w:ascii="Calibri" w:hAnsi="Calibri" w:eastAsia="Calibri"/>
          <w:b/>
          <w:color w:val="2E74B5"/>
          <w:sz w:val="32"/>
        </w:rPr>
        <w:t>The Short Interest Did Not Magically Disappear</w:t>
      </w:r>
    </w:p>
    <w:p>
      <w:r>
        <w:rPr>
          <w:rFonts w:ascii="Calibri" w:hAnsi="Calibri" w:eastAsia="Calibri"/>
          <w:color w:val="1F252B"/>
        </w:rPr>
        <w:t>One of the questions retail asks most often is how short interest can look enormous and then appear to vanish. June 2021 gives us a clean example of what the number can and cannot tell us.</w:t>
      </w:r>
    </w:p>
    <w:p>
      <w:r>
        <w:rPr>
          <w:rFonts w:ascii="Calibri" w:hAnsi="Calibri" w:eastAsia="Calibri"/>
          <w:color w:val="1F252B"/>
        </w:rPr>
        <w:t>FINRA reported 102.303 million AMC shares short on May 28, 85.076 million on June 15, and 75.480 million on June 30. That is a real decline in reported open short positions. It was not merely a denominator trick. Some reported shorts were closed, transferred, netted, or otherwise no longer present in the reportable position on those settlement dates.</w:t>
      </w:r>
    </w:p>
    <w:p>
      <w:r>
        <w:rPr>
          <w:rFonts w:ascii="Calibri" w:hAnsi="Calibri" w:eastAsia="Calibri"/>
          <w:color w:val="1F252B"/>
        </w:rPr>
        <w:t>But 75.480 million shares is not “the shorts disappeared.” It is still a huge number. And by July 15, the figure rose to 79.748 million, an increase of 4.268 million shares from June 30. AMC lost more than half its value from the June high while reported short interest remained in the tens of millions and rose during the final half-month snapshot.</w:t>
      </w:r>
    </w:p>
    <w:p>
      <w:r>
        <w:rPr>
          <w:rFonts w:ascii="Calibri" w:hAnsi="Calibri" w:eastAsia="Calibri"/>
          <w:color w:val="1F252B"/>
        </w:rPr>
        <w:t>That does not mean every decline was caused by new shorting. It means the public data do not support a story where the price fell because all shorts covered and left. The reported position remained substantial.</w:t>
      </w:r>
    </w:p>
    <w:p>
      <w:r>
        <w:rPr>
          <w:rFonts w:ascii="Calibri" w:hAnsi="Calibri" w:eastAsia="Calibri"/>
          <w:color w:val="1F252B"/>
        </w:rPr>
        <w:t>There is another trap here: daily short-sale volume is not short interest. A market maker can sell short to fill a customer buy and purchase the offsetting shares seconds later. That trade remains short-marked in daily volume even if no open short position survives overnight. Add every daily short sale for a month and you will manufacture a number larger than the float, because the same share can trade repeatedly. That is turnover, not proof of a billion synthetic shares.</w:t>
      </w:r>
    </w:p>
    <w:p>
      <w:r>
        <w:rPr>
          <w:rFonts w:ascii="Calibri" w:hAnsi="Calibri" w:eastAsia="Calibri"/>
          <w:color w:val="1F252B"/>
        </w:rPr>
        <w:t>At the same time, a short-interest snapshot is not a complete map of bearish exposure. It does not capture every swap, short option, total-return basket, offshore instrument, convertible hedge, or market-maker inventory position. It is a twice-monthly picture of reportable equity shorts. If economic exposure migrates from a reportable short sale into a swap or option structure, the risk did not necessarily disappear. It changed legal wrappers.</w:t>
      </w:r>
    </w:p>
    <w:p>
      <w:r>
        <w:rPr>
          <w:rFonts w:ascii="Calibri" w:hAnsi="Calibri" w:eastAsia="Calibri"/>
          <w:color w:val="1F252B"/>
        </w:rPr>
        <w:t>The same principle matters in 2026. AMC’s reported short shares fell sharply during a period when approximately 142.1 million new shares were delivered to exchangeable-note holders. Those shares could be sold, lent, or used to close debt hedges. The documented conclusion is not that every noteholder closed a short. It is that a large block of new deliverable inventory entered the system during the largest reported short-interest decline. The missing bridge is the noteholder identity, hedge position, stock-loan return, and CNS settlement instruction.</w:t>
      </w:r>
    </w:p>
    <w:p>
      <w:r>
        <w:rPr>
          <w:rFonts w:ascii="Calibri" w:hAnsi="Calibri" w:eastAsia="Calibri"/>
          <w:color w:val="1F252B"/>
        </w:rPr>
        <w:t>Short interest is not a lie because it changes. It is incomplete because it is a snapshot of one category inside a market that has many ways to create the same economic exposure.</w:t>
      </w:r>
    </w:p>
    <w:p>
      <w:pPr>
        <w:pStyle w:val="Heading1"/>
        <w:ind w:left="0" w:right="0" w:firstLine="0"/>
        <w:jc w:val="left"/>
      </w:pPr>
      <w:r>
        <w:rPr>
          <w:rFonts w:ascii="Calibri" w:hAnsi="Calibri" w:eastAsia="Calibri"/>
          <w:b/>
          <w:color w:val="2E74B5"/>
          <w:sz w:val="32"/>
        </w:rPr>
        <w:t>The FTD Cluster and the Threshold Clock</w:t>
      </w:r>
    </w:p>
    <w:p>
      <w:r>
        <w:rPr>
          <w:rFonts w:ascii="Calibri" w:hAnsi="Calibri" w:eastAsia="Calibri"/>
          <w:color w:val="1F252B"/>
        </w:rPr>
        <w:t>The SEC’s fail-to-deliver files give us one of the most important June sequences.</w:t>
      </w:r>
    </w:p>
    <w:p>
      <w:r>
        <w:rPr>
          <w:rFonts w:ascii="Calibri" w:hAnsi="Calibri" w:eastAsia="Calibri"/>
          <w:color w:val="1F252B"/>
        </w:rPr>
        <w:t>AMC’s aggregate FTD balance reached 5,448,460 shares on June 3. It later climbed from 2,333,859 on June 18 to 4,053,113 on June 21, 3,632,546 on June 22, 3,711,756 on June 23, 3,883,531 on June 24, and 4,419,417 on June 25. It remained above 3.5 million through June 30 and stood at 3,519,354 on July 1.</w:t>
      </w:r>
    </w:p>
    <w:p>
      <w:r>
        <w:rPr>
          <w:rFonts w:ascii="Calibri" w:hAnsi="Calibri" w:eastAsia="Calibri"/>
          <w:color w:val="1F252B"/>
        </w:rPr>
        <w:t>NYSE’s own files show AMC was absent from the threshold list on June 24, present on June 25, remained present through July 8, and was absent July 9. The SEC threshold definition requires an aggregate fail position for five consecutive settlement days, at least 10,000 shares, and at least 0.5% of shares outstanding. With approximately 501.78 million shares outstanding, the 0.5% level was roughly 2.509 million shares. The June 21–25 balances cleared that level for five consecutive settlement days. The list entry lines up mechanically with the published FTD data.</w:t>
      </w:r>
    </w:p>
    <w:p>
      <w:r>
        <w:rPr>
          <w:rFonts w:ascii="Calibri" w:hAnsi="Calibri" w:eastAsia="Calibri"/>
          <w:color w:val="1F252B"/>
        </w:rPr>
        <w:t>That is a documented settlement event.</w:t>
      </w:r>
    </w:p>
    <w:p>
      <w:r>
        <w:rPr>
          <w:rFonts w:ascii="Calibri" w:hAnsi="Calibri" w:eastAsia="Calibri"/>
          <w:color w:val="1F252B"/>
        </w:rPr>
        <w:t>Now comes the part where we protect the case. The SEC warns that FTDs can result from long sales or short sales. The published number is an aggregate net balance across NSCC members. It combines existing fails, new fails, and deliveries that settled. You cannot add the daily balances together. You cannot determine the age of a fail from the public file. And the source on Monday may not be the same source on Tuesday.</w:t>
      </w:r>
    </w:p>
    <w:p>
      <w:r>
        <w:rPr>
          <w:rFonts w:ascii="Calibri" w:hAnsi="Calibri" w:eastAsia="Calibri"/>
          <w:color w:val="1F252B"/>
        </w:rPr>
        <w:t>So 4.4 million FTDs do not automatically equal 4.4 million illegal naked shorts. Anybody telling you that is taking a real red flag and weakening it with bad math.</w:t>
      </w:r>
    </w:p>
    <w:p>
      <w:r>
        <w:rPr>
          <w:rFonts w:ascii="Calibri" w:hAnsi="Calibri" w:eastAsia="Calibri"/>
          <w:color w:val="1F252B"/>
        </w:rPr>
        <w:t>The stronger question is this: which NSCC participants produced the balances, which trades created them, how old were the fails, what locate or delivery source supported the short orders, and what caused the balance to collapse from 2,248,513 on July 2 to 41,296 on July 6?</w:t>
      </w:r>
    </w:p>
    <w:p>
      <w:r>
        <w:rPr>
          <w:rFonts w:ascii="Calibri" w:hAnsi="Calibri" w:eastAsia="Calibri"/>
          <w:color w:val="1F252B"/>
        </w:rPr>
        <w:t>That collapse could reflect deliveries, stock borrows, buy-ins, position netting, newly available shares, or a change in the participant mix. The public file does not tell us. The CNS participant ledger does.</w:t>
      </w:r>
    </w:p>
    <w:p>
      <w:r>
        <w:rPr>
          <w:rFonts w:ascii="Calibri" w:hAnsi="Calibri" w:eastAsia="Calibri"/>
          <w:color w:val="1F252B"/>
        </w:rPr>
        <w:t>The threshold list does not convict anybody. It establishes the time window for the audit.</w:t>
      </w:r>
    </w:p>
    <w:p>
      <w:pPr>
        <w:pStyle w:val="Heading1"/>
        <w:ind w:left="0" w:right="0" w:firstLine="0"/>
        <w:jc w:val="left"/>
      </w:pPr>
      <w:r>
        <w:rPr>
          <w:rFonts w:ascii="Calibri" w:hAnsi="Calibri" w:eastAsia="Calibri"/>
          <w:b/>
          <w:color w:val="2E74B5"/>
          <w:sz w:val="32"/>
        </w:rPr>
        <w:t>The Off-Exchange Ocean</w:t>
      </w:r>
    </w:p>
    <w:p>
      <w:r>
        <w:rPr>
          <w:rFonts w:ascii="Calibri" w:hAnsi="Calibri" w:eastAsia="Calibri"/>
          <w:color w:val="1F252B"/>
        </w:rPr>
        <w:t>Now let us talk about the phrase “dark pool,” because Wall Street loves hiding several different pipes behind one nickname and then laughing when retail uses the nickname imprecisely.</w:t>
      </w:r>
    </w:p>
    <w:p>
      <w:r>
        <w:rPr>
          <w:rFonts w:ascii="Calibri" w:hAnsi="Calibri" w:eastAsia="Calibri"/>
          <w:color w:val="1F252B"/>
        </w:rPr>
        <w:t>FINRA’s consolidated TRF and ADF daily files capture publicly disseminated off-exchange trades in exchange-listed securities during regular market hours. Across all 22 June 2021 trading days, those files show 2,888,264,793 AMC shares of reported off-exchange volume. Of that amount, 1,169,819,420 shares were marked short or short-exempt. That is 40.50%.</w:t>
      </w:r>
    </w:p>
    <w:p>
      <w:r>
        <w:rPr>
          <w:rFonts w:ascii="Calibri" w:hAnsi="Calibri" w:eastAsia="Calibri"/>
          <w:color w:val="1F252B"/>
        </w:rPr>
        <w:t>On June 2 alone, FINRA reported 371,220,618 off-exchange AMC shares, including 162,922,476 short or short-exempt shares. On June 28, short-marked shares were 51.62% of the FINRA total. On June 29, 56.32%. On June 30, 54.41%.</w:t>
      </w:r>
    </w:p>
    <w:p>
      <w:r>
        <w:rPr>
          <w:rFonts w:ascii="Calibri" w:hAnsi="Calibri" w:eastAsia="Calibri"/>
          <w:color w:val="1F252B"/>
        </w:rPr>
        <w:t>Those are enormous numbers. They are also gross trading volume. The same shares can change hands repeatedly, and some market-maker short sales exist because the market maker is filling a customer buy. FINRA explicitly warns that the files exclude exchange trades and may omit offsetting buying activity that is not publicly disseminated in the same dataset. The files do not equal open short interest.</w:t>
      </w:r>
    </w:p>
    <w:p>
      <w:r>
        <w:rPr>
          <w:rFonts w:ascii="Calibri" w:hAnsi="Calibri" w:eastAsia="Calibri"/>
          <w:color w:val="1F252B"/>
        </w:rPr>
        <w:t>They also do not separate ATS dark pools from non-ATS wholesaler internalization. “Off-exchange” is the larger category. An ATS is one kind of off-exchange venue. A wholesaler executing retail orders internally and reporting the trade to a FINRA facility is another. Calling every off-exchange share a dark-pool trade makes it easier for critics to dodge the real point.</w:t>
      </w:r>
    </w:p>
    <w:p>
      <w:r>
        <w:rPr>
          <w:rFonts w:ascii="Calibri" w:hAnsi="Calibri" w:eastAsia="Calibri"/>
          <w:color w:val="1F252B"/>
        </w:rPr>
        <w:t>The real point is concentration and missing context. Billions of AMC shares passed through off-exchange reporting facilities during the run and decline, but the public daily file does not identify which executing firm handled the flow, whether it acted as principal or agent, what inventory it carried, how it hedged, what price improvement it provided, or whether its routing and execution met every duty.</w:t>
      </w:r>
    </w:p>
    <w:p>
      <w:r>
        <w:rPr>
          <w:rFonts w:ascii="Calibri" w:hAnsi="Calibri" w:eastAsia="Calibri"/>
          <w:color w:val="1F252B"/>
        </w:rPr>
        <w:t>The firm-level weekly archive that could identify June 2021 participants is no longer available through FINRA’s current rolling public historical endpoint. Citadel Securities’ June 2021 Rule 605 file has been identified as a specific record target, but Rule 605 would still cover only defined order categories and execution-quality fields. It is not a full inventory or manipulation audit.</w:t>
      </w:r>
    </w:p>
    <w:p>
      <w:r>
        <w:rPr>
          <w:rFonts w:ascii="Calibri" w:hAnsi="Calibri" w:eastAsia="Calibri"/>
          <w:color w:val="1F252B"/>
        </w:rPr>
        <w:t>The missing bridge is OATS and CAT lifecycle data, Electronic Blue Sheets, market-maker inventory, NBBO-at-receipt data, and the hedge trades that followed each customer execution. Without those records, we know the ocean was huge. We do not know which boat created each wake.</w:t>
      </w:r>
    </w:p>
    <w:p>
      <w:pPr>
        <w:pStyle w:val="Heading1"/>
        <w:ind w:left="0" w:right="0" w:firstLine="0"/>
        <w:jc w:val="left"/>
      </w:pPr>
      <w:r>
        <w:rPr>
          <w:rFonts w:ascii="Calibri" w:hAnsi="Calibri" w:eastAsia="Calibri"/>
          <w:b/>
          <w:color w:val="2E74B5"/>
          <w:sz w:val="32"/>
        </w:rPr>
        <w:t>Citadel Is Not One Legal Box</w:t>
      </w:r>
    </w:p>
    <w:p>
      <w:r>
        <w:rPr>
          <w:rFonts w:ascii="Calibri" w:hAnsi="Calibri" w:eastAsia="Calibri"/>
          <w:color w:val="1F252B"/>
        </w:rPr>
        <w:t>The next section has to be precise because “Citadel” is often used like it is one account with one position and one trader sitting behind a giant red sell button. That is not how the public record is organized.</w:t>
      </w:r>
    </w:p>
    <w:p>
      <w:r>
        <w:rPr>
          <w:rFonts w:ascii="Calibri" w:hAnsi="Calibri" w:eastAsia="Calibri"/>
          <w:color w:val="1F252B"/>
        </w:rPr>
        <w:t>Citadel Securities LLC is the broker-dealer and market maker. Citadel Advisors LLC is an investment manager. FINRA BrokerCheck identifies them as separate entities under common control of Kenneth C. Griffin. Common control matters. It establishes an ownership relationship. It does not automatically merge the entities’ books, duties, positions, or intent.</w:t>
      </w:r>
    </w:p>
    <w:p>
      <w:r>
        <w:rPr>
          <w:rFonts w:ascii="Calibri" w:hAnsi="Calibri" w:eastAsia="Calibri"/>
          <w:color w:val="1F252B"/>
        </w:rPr>
        <w:t>Citadel Securities’ provable AMC connection is the execution lane. The House report says Citadel Securities provided execution for approximately 160 broker-dealers on January 27, 2021. Robinhood routed orders to Citadel Securities and five other market makers on January 28. Citadel Securities reported that it had no capacity problem and became a vital source of liquidity during the event. The House report also documents tense Robinhood–Citadel Securities discussions about the unusually high payment-for-order-flow economics generated by GME and AMC. They discussed caps, and Citadel ultimately accepted Robinhood’s proposal.</w:t>
      </w:r>
    </w:p>
    <w:p>
      <w:r>
        <w:rPr>
          <w:rFonts w:ascii="Calibri" w:hAnsi="Calibri" w:eastAsia="Calibri"/>
          <w:color w:val="1F252B"/>
        </w:rPr>
        <w:t>That proves a direct commercial interaction about AMC and GME order flow. It does not prove Citadel told Robinhood to turn off the buy button. The House record ties Robinhood’s restriction to its clearing deposit crisis. We do not make the case stronger by pretending the documented collateral chain does not exist.</w:t>
      </w:r>
    </w:p>
    <w:p>
      <w:r>
        <w:rPr>
          <w:rFonts w:ascii="Calibri" w:hAnsi="Calibri" w:eastAsia="Calibri"/>
          <w:color w:val="1F252B"/>
        </w:rPr>
        <w:t>Citadel Advisors’ provable connection is the investment-position lane. Its Form 13F filings show a large build in AMC calls and puts between the end of 2020 and June 30, 2021.</w:t>
      </w:r>
    </w:p>
    <w:tbl>
      <w:tblPr>
        <w:tblW w:type="dxa" w:w="9360"/>
        <w:tblLayout w:type="fixed"/>
        <w:tblLook w:firstColumn="1" w:firstRow="1" w:lastColumn="0" w:lastRow="0" w:noHBand="0" w:noVBand="1" w:val="04A0"/>
        <w:jc w:val="center"/>
        <w:tblBorders>
          <w:top w:val="single" w:sz="4" w:space="0" w:color="C8D0D8"/>
          <w:left w:val="single" w:sz="4" w:space="0" w:color="C8D0D8"/>
          <w:bottom w:val="single" w:sz="4" w:space="0" w:color="C8D0D8"/>
          <w:right w:val="single" w:sz="4" w:space="0" w:color="C8D0D8"/>
          <w:insideH w:val="single" w:sz="4" w:space="0" w:color="C8D0D8"/>
          <w:insideV w:val="single" w:sz="4" w:space="0" w:color="C8D0D8"/>
        </w:tblBorders>
      </w:tblPr>
      <w:tblGrid>
        <w:gridCol w:w="1800"/>
        <w:gridCol w:w="2520"/>
        <w:gridCol w:w="2520"/>
        <w:gridCol w:w="2520"/>
      </w:tblGrid>
      <w:tr>
        <w:trPr>
          <w:cantSplit/>
          <w:tblHeader w:val="true"/>
        </w:trPr>
        <w:tc>
          <w:tcPr>
            <w:tcW w:type="dxa" w:w="1800"/>
            <w:vAlign w:val="center"/>
            <w:tcMar>
              <w:top w:w="80" w:type="dxa"/>
              <w:start w:w="120" w:type="dxa"/>
              <w:bottom w:w="80" w:type="dxa"/>
              <w:end w:w="120" w:type="dxa"/>
            </w:tcMar>
            <w:shd w:fill="163A59"/>
          </w:tcPr>
          <w:p>
            <w:pPr>
              <w:pStyle w:val="TableText"/>
              <w:jc w:val="left"/>
            </w:pPr>
            <w:r>
              <w:rPr>
                <w:rFonts w:ascii="Calibri" w:hAnsi="Calibri" w:eastAsia="Calibri"/>
                <w:b/>
                <w:color w:val="FFFFFF"/>
                <w:sz w:val="18"/>
              </w:rPr>
              <w:t>Report date</w:t>
            </w:r>
          </w:p>
        </w:tc>
        <w:tc>
          <w:tcPr>
            <w:tcW w:type="dxa" w:w="2520"/>
            <w:vAlign w:val="center"/>
            <w:tcMar>
              <w:top w:w="80" w:type="dxa"/>
              <w:start w:w="120" w:type="dxa"/>
              <w:bottom w:w="80" w:type="dxa"/>
              <w:end w:w="120" w:type="dxa"/>
            </w:tcMar>
            <w:shd w:fill="163A59"/>
          </w:tcPr>
          <w:p>
            <w:pPr>
              <w:pStyle w:val="TableText"/>
              <w:jc w:val="right"/>
            </w:pPr>
            <w:r>
              <w:rPr>
                <w:rFonts w:ascii="Calibri" w:hAnsi="Calibri" w:eastAsia="Calibri"/>
                <w:b/>
                <w:color w:val="FFFFFF"/>
                <w:sz w:val="18"/>
              </w:rPr>
              <w:t>Long calls: underlying shares</w:t>
            </w:r>
          </w:p>
        </w:tc>
        <w:tc>
          <w:tcPr>
            <w:tcW w:type="dxa" w:w="2520"/>
            <w:vAlign w:val="center"/>
            <w:tcMar>
              <w:top w:w="80" w:type="dxa"/>
              <w:start w:w="120" w:type="dxa"/>
              <w:bottom w:w="80" w:type="dxa"/>
              <w:end w:w="120" w:type="dxa"/>
            </w:tcMar>
            <w:shd w:fill="163A59"/>
          </w:tcPr>
          <w:p>
            <w:pPr>
              <w:pStyle w:val="TableText"/>
              <w:jc w:val="right"/>
            </w:pPr>
            <w:r>
              <w:rPr>
                <w:rFonts w:ascii="Calibri" w:hAnsi="Calibri" w:eastAsia="Calibri"/>
                <w:b/>
                <w:color w:val="FFFFFF"/>
                <w:sz w:val="18"/>
              </w:rPr>
              <w:t>Long puts: underlying shares</w:t>
            </w:r>
          </w:p>
        </w:tc>
        <w:tc>
          <w:tcPr>
            <w:tcW w:type="dxa" w:w="2520"/>
            <w:vAlign w:val="center"/>
            <w:tcMar>
              <w:top w:w="80" w:type="dxa"/>
              <w:start w:w="120" w:type="dxa"/>
              <w:bottom w:w="80" w:type="dxa"/>
              <w:end w:w="120" w:type="dxa"/>
            </w:tcMar>
            <w:shd w:fill="163A59"/>
          </w:tcPr>
          <w:p>
            <w:pPr>
              <w:pStyle w:val="TableText"/>
              <w:jc w:val="right"/>
            </w:pPr>
            <w:r>
              <w:rPr>
                <w:rFonts w:ascii="Calibri" w:hAnsi="Calibri" w:eastAsia="Calibri"/>
                <w:b/>
                <w:color w:val="FFFFFF"/>
                <w:sz w:val="18"/>
              </w:rPr>
              <w:t>Common shares</w:t>
            </w:r>
          </w:p>
        </w:tc>
      </w:tr>
      <w:tr>
        <w:trPr>
          <w:cantSplit/>
        </w:trPr>
        <w:tc>
          <w:tcPr>
            <w:tcW w:type="dxa" w:w="1800"/>
            <w:vAlign w:val="center"/>
            <w:tcMar>
              <w:top w:w="80" w:type="dxa"/>
              <w:start w:w="120" w:type="dxa"/>
              <w:bottom w:w="80" w:type="dxa"/>
              <w:end w:w="120" w:type="dxa"/>
            </w:tcMar>
          </w:tcPr>
          <w:p>
            <w:pPr>
              <w:pStyle w:val="TableText"/>
              <w:jc w:val="left"/>
            </w:pPr>
            <w:r>
              <w:rPr>
                <w:rFonts w:ascii="Calibri" w:hAnsi="Calibri" w:eastAsia="Calibri"/>
                <w:color w:val="1F252B"/>
                <w:sz w:val="18"/>
              </w:rPr>
              <w:t>December 31, 2020</w:t>
            </w:r>
          </w:p>
        </w:tc>
        <w:tc>
          <w:tcPr>
            <w:tcW w:type="dxa" w:w="2520"/>
            <w:vAlign w:val="center"/>
            <w:tcMar>
              <w:top w:w="80" w:type="dxa"/>
              <w:start w:w="120" w:type="dxa"/>
              <w:bottom w:w="80" w:type="dxa"/>
              <w:end w:w="120" w:type="dxa"/>
            </w:tcMar>
          </w:tcPr>
          <w:p>
            <w:pPr>
              <w:pStyle w:val="TableText"/>
              <w:jc w:val="right"/>
            </w:pPr>
            <w:r>
              <w:rPr>
                <w:rFonts w:ascii="Calibri" w:hAnsi="Calibri" w:eastAsia="Calibri"/>
                <w:color w:val="1F252B"/>
                <w:sz w:val="18"/>
              </w:rPr>
              <w:t>1,008,100</w:t>
            </w:r>
          </w:p>
        </w:tc>
        <w:tc>
          <w:tcPr>
            <w:tcW w:type="dxa" w:w="2520"/>
            <w:vAlign w:val="center"/>
            <w:tcMar>
              <w:top w:w="80" w:type="dxa"/>
              <w:start w:w="120" w:type="dxa"/>
              <w:bottom w:w="80" w:type="dxa"/>
              <w:end w:w="120" w:type="dxa"/>
            </w:tcMar>
          </w:tcPr>
          <w:p>
            <w:pPr>
              <w:pStyle w:val="TableText"/>
              <w:jc w:val="right"/>
            </w:pPr>
            <w:r>
              <w:rPr>
                <w:rFonts w:ascii="Calibri" w:hAnsi="Calibri" w:eastAsia="Calibri"/>
                <w:color w:val="1F252B"/>
                <w:sz w:val="18"/>
              </w:rPr>
              <w:t>1,749,200</w:t>
            </w:r>
          </w:p>
        </w:tc>
        <w:tc>
          <w:tcPr>
            <w:tcW w:type="dxa" w:w="2520"/>
            <w:vAlign w:val="center"/>
            <w:tcMar>
              <w:top w:w="80" w:type="dxa"/>
              <w:start w:w="120" w:type="dxa"/>
              <w:bottom w:w="80" w:type="dxa"/>
              <w:end w:w="120" w:type="dxa"/>
            </w:tcMar>
          </w:tcPr>
          <w:p>
            <w:pPr>
              <w:pStyle w:val="TableText"/>
              <w:jc w:val="right"/>
            </w:pPr>
            <w:r>
              <w:rPr>
                <w:rFonts w:ascii="Calibri" w:hAnsi="Calibri" w:eastAsia="Calibri"/>
                <w:color w:val="1F252B"/>
                <w:sz w:val="18"/>
              </w:rPr>
              <w:t>274,877</w:t>
            </w:r>
          </w:p>
        </w:tc>
      </w:tr>
      <w:tr>
        <w:trPr>
          <w:cantSplit/>
        </w:trPr>
        <w:tc>
          <w:tcPr>
            <w:tcW w:type="dxa" w:w="1800"/>
            <w:vAlign w:val="center"/>
            <w:tcMar>
              <w:top w:w="80" w:type="dxa"/>
              <w:start w:w="120" w:type="dxa"/>
              <w:bottom w:w="80" w:type="dxa"/>
              <w:end w:w="120" w:type="dxa"/>
            </w:tcMar>
            <w:shd w:fill="F4F6F9"/>
          </w:tcPr>
          <w:p>
            <w:pPr>
              <w:pStyle w:val="TableText"/>
              <w:jc w:val="left"/>
            </w:pPr>
            <w:r>
              <w:rPr>
                <w:rFonts w:ascii="Calibri" w:hAnsi="Calibri" w:eastAsia="Calibri"/>
                <w:color w:val="1F252B"/>
                <w:sz w:val="18"/>
              </w:rPr>
              <w:t>March 31, 2021</w:t>
            </w:r>
          </w:p>
        </w:tc>
        <w:tc>
          <w:tcPr>
            <w:tcW w:type="dxa" w:w="2520"/>
            <w:vAlign w:val="center"/>
            <w:tcMar>
              <w:top w:w="80" w:type="dxa"/>
              <w:start w:w="120" w:type="dxa"/>
              <w:bottom w:w="80" w:type="dxa"/>
              <w:end w:w="120" w:type="dxa"/>
            </w:tcMar>
            <w:shd w:fill="F4F6F9"/>
          </w:tcPr>
          <w:p>
            <w:pPr>
              <w:pStyle w:val="TableText"/>
              <w:jc w:val="right"/>
            </w:pPr>
            <w:r>
              <w:rPr>
                <w:rFonts w:ascii="Calibri" w:hAnsi="Calibri" w:eastAsia="Calibri"/>
                <w:color w:val="1F252B"/>
                <w:sz w:val="18"/>
              </w:rPr>
              <w:t>4,110,000</w:t>
            </w:r>
          </w:p>
        </w:tc>
        <w:tc>
          <w:tcPr>
            <w:tcW w:type="dxa" w:w="2520"/>
            <w:vAlign w:val="center"/>
            <w:tcMar>
              <w:top w:w="80" w:type="dxa"/>
              <w:start w:w="120" w:type="dxa"/>
              <w:bottom w:w="80" w:type="dxa"/>
              <w:end w:w="120" w:type="dxa"/>
            </w:tcMar>
            <w:shd w:fill="F4F6F9"/>
          </w:tcPr>
          <w:p>
            <w:pPr>
              <w:pStyle w:val="TableText"/>
              <w:jc w:val="right"/>
            </w:pPr>
            <w:r>
              <w:rPr>
                <w:rFonts w:ascii="Calibri" w:hAnsi="Calibri" w:eastAsia="Calibri"/>
                <w:color w:val="1F252B"/>
                <w:sz w:val="18"/>
              </w:rPr>
              <w:t>5,676,200</w:t>
            </w:r>
          </w:p>
        </w:tc>
        <w:tc>
          <w:tcPr>
            <w:tcW w:type="dxa" w:w="2520"/>
            <w:vAlign w:val="center"/>
            <w:tcMar>
              <w:top w:w="80" w:type="dxa"/>
              <w:start w:w="120" w:type="dxa"/>
              <w:bottom w:w="80" w:type="dxa"/>
              <w:end w:w="120" w:type="dxa"/>
            </w:tcMar>
            <w:shd w:fill="F4F6F9"/>
          </w:tcPr>
          <w:p>
            <w:pPr>
              <w:pStyle w:val="TableText"/>
              <w:jc w:val="right"/>
            </w:pPr>
            <w:r>
              <w:rPr>
                <w:rFonts w:ascii="Calibri" w:hAnsi="Calibri" w:eastAsia="Calibri"/>
                <w:color w:val="1F252B"/>
                <w:sz w:val="18"/>
              </w:rPr>
              <w:t>724,599</w:t>
            </w:r>
          </w:p>
        </w:tc>
      </w:tr>
      <w:tr>
        <w:trPr>
          <w:cantSplit/>
        </w:trPr>
        <w:tc>
          <w:tcPr>
            <w:tcW w:type="dxa" w:w="1800"/>
            <w:vAlign w:val="center"/>
            <w:tcMar>
              <w:top w:w="80" w:type="dxa"/>
              <w:start w:w="120" w:type="dxa"/>
              <w:bottom w:w="80" w:type="dxa"/>
              <w:end w:w="120" w:type="dxa"/>
            </w:tcMar>
          </w:tcPr>
          <w:p>
            <w:pPr>
              <w:pStyle w:val="TableText"/>
              <w:jc w:val="left"/>
            </w:pPr>
            <w:r>
              <w:rPr>
                <w:rFonts w:ascii="Calibri" w:hAnsi="Calibri" w:eastAsia="Calibri"/>
                <w:color w:val="1F252B"/>
                <w:sz w:val="18"/>
              </w:rPr>
              <w:t>June 30, 2021</w:t>
            </w:r>
          </w:p>
        </w:tc>
        <w:tc>
          <w:tcPr>
            <w:tcW w:type="dxa" w:w="2520"/>
            <w:vAlign w:val="center"/>
            <w:tcMar>
              <w:top w:w="80" w:type="dxa"/>
              <w:start w:w="120" w:type="dxa"/>
              <w:bottom w:w="80" w:type="dxa"/>
              <w:end w:w="120" w:type="dxa"/>
            </w:tcMar>
          </w:tcPr>
          <w:p>
            <w:pPr>
              <w:pStyle w:val="TableText"/>
              <w:jc w:val="right"/>
            </w:pPr>
            <w:r>
              <w:rPr>
                <w:rFonts w:ascii="Calibri" w:hAnsi="Calibri" w:eastAsia="Calibri"/>
                <w:color w:val="1F252B"/>
                <w:sz w:val="18"/>
              </w:rPr>
              <w:t>5,965,900</w:t>
            </w:r>
          </w:p>
        </w:tc>
        <w:tc>
          <w:tcPr>
            <w:tcW w:type="dxa" w:w="2520"/>
            <w:vAlign w:val="center"/>
            <w:tcMar>
              <w:top w:w="80" w:type="dxa"/>
              <w:start w:w="120" w:type="dxa"/>
              <w:bottom w:w="80" w:type="dxa"/>
              <w:end w:w="120" w:type="dxa"/>
            </w:tcMar>
          </w:tcPr>
          <w:p>
            <w:pPr>
              <w:pStyle w:val="TableText"/>
              <w:jc w:val="right"/>
            </w:pPr>
            <w:r>
              <w:rPr>
                <w:rFonts w:ascii="Calibri" w:hAnsi="Calibri" w:eastAsia="Calibri"/>
                <w:color w:val="1F252B"/>
                <w:sz w:val="18"/>
              </w:rPr>
              <w:t>8,406,600</w:t>
            </w:r>
          </w:p>
        </w:tc>
        <w:tc>
          <w:tcPr>
            <w:tcW w:type="dxa" w:w="2520"/>
            <w:vAlign w:val="center"/>
            <w:tcMar>
              <w:top w:w="80" w:type="dxa"/>
              <w:start w:w="120" w:type="dxa"/>
              <w:bottom w:w="80" w:type="dxa"/>
              <w:end w:w="120" w:type="dxa"/>
            </w:tcMar>
          </w:tcPr>
          <w:p>
            <w:pPr>
              <w:pStyle w:val="TableText"/>
              <w:jc w:val="right"/>
            </w:pPr>
            <w:r>
              <w:rPr>
                <w:rFonts w:ascii="Calibri" w:hAnsi="Calibri" w:eastAsia="Calibri"/>
                <w:color w:val="1F252B"/>
                <w:sz w:val="18"/>
              </w:rPr>
              <w:t>136,003</w:t>
            </w:r>
          </w:p>
        </w:tc>
      </w:tr>
    </w:tbl>
    <w:p>
      <w:pPr>
        <w:spacing w:after="0"/>
      </w:pPr>
    </w:p>
    <w:p>
      <w:r>
        <w:rPr>
          <w:rFonts w:ascii="Calibri" w:hAnsi="Calibri" w:eastAsia="Calibri"/>
          <w:color w:val="1F252B"/>
        </w:rPr>
        <w:t>At June 30, Citadel Advisors reported approximately $338.147 million of value on the call rows, $476.486 million on the put rows, and $7.709 million in common shares. The options represented 14.3725 million underlying shares, approximately 2.86% of AMC’s June 2 shares outstanding. From March 31 to June 30, reported calls rose about 45%, reported puts about 48%, and common shares fell about 81%. The long-put to long-call underlying-share ratio was approximately 1.41.</w:t>
      </w:r>
    </w:p>
    <w:p>
      <w:r>
        <w:rPr>
          <w:rFonts w:ascii="Calibri" w:hAnsi="Calibri" w:eastAsia="Calibri"/>
          <w:color w:val="1F252B"/>
        </w:rPr>
        <w:t>That is substantial exposure. It is not a complete position.</w:t>
      </w:r>
    </w:p>
    <w:p>
      <w:pPr>
        <w:pStyle w:val="Heading1"/>
        <w:ind w:left="0" w:right="0" w:firstLine="0"/>
        <w:jc w:val="left"/>
      </w:pPr>
      <w:r>
        <w:rPr>
          <w:rFonts w:ascii="Calibri" w:hAnsi="Calibri" w:eastAsia="Calibri"/>
          <w:b/>
          <w:color w:val="2E74B5"/>
          <w:sz w:val="32"/>
        </w:rPr>
        <w:t>Why $814 Million of Reported Option Value Is Not a Net Short Number</w:t>
      </w:r>
    </w:p>
    <w:p>
      <w:r>
        <w:rPr>
          <w:rFonts w:ascii="Calibri" w:hAnsi="Calibri" w:eastAsia="Calibri"/>
          <w:color w:val="1F252B"/>
        </w:rPr>
        <w:t>This is where people can make a very understandable mistake. They see $476 million associated with puts, $338 million associated with calls, and a price that lost half its value, and they conclude the filing reveals the suppression machine.</w:t>
      </w:r>
    </w:p>
    <w:p>
      <w:r>
        <w:rPr>
          <w:rFonts w:ascii="Calibri" w:hAnsi="Calibri" w:eastAsia="Calibri"/>
          <w:color w:val="1F252B"/>
        </w:rPr>
        <w:t>Not yet.</w:t>
      </w:r>
    </w:p>
    <w:p>
      <w:r>
        <w:rPr>
          <w:rFonts w:ascii="Calibri" w:hAnsi="Calibri" w:eastAsia="Calibri"/>
          <w:color w:val="1F252B"/>
        </w:rPr>
        <w:t>Form 13F reports held long positions in listed securities and certain options. The SEC says short stock positions are not included. Written options are not included. Neither is subtracted from the reported long position. The form does not give us every strike, expiration, trade date, option premium, swap, or intraday hedge. The reported option share count refers to underlying shares represented by the options. The reported value follows the 13F methodology; it is not simply the cash premium paid for the contracts.</w:t>
      </w:r>
    </w:p>
    <w:p>
      <w:r>
        <w:rPr>
          <w:rFonts w:ascii="Calibri" w:hAnsi="Calibri" w:eastAsia="Calibri"/>
          <w:color w:val="1F252B"/>
        </w:rPr>
        <w:t>That means the public filing cannot tell us Citadel Advisors’ net delta.</w:t>
      </w:r>
    </w:p>
    <w:p>
      <w:r>
        <w:rPr>
          <w:rFonts w:ascii="Calibri" w:hAnsi="Calibri" w:eastAsia="Calibri"/>
          <w:color w:val="1F252B"/>
        </w:rPr>
        <w:t>A long put can be a bearish position. It can also protect a long stock position, a long call position, a swap, a convertible instrument, or another portfolio exposure. A long call can be bullish. It can also hedge a short position or form one side of a volatility strategy. If a dealer sold those options, the dealer may have bought or sold AMC shares to remain delta neutral. As the price moved and option sensitivities changed, the dealer’s hedge could change with it.</w:t>
      </w:r>
    </w:p>
    <w:p>
      <w:r>
        <w:rPr>
          <w:rFonts w:ascii="Calibri" w:hAnsi="Calibri" w:eastAsia="Calibri"/>
          <w:color w:val="1F252B"/>
        </w:rPr>
        <w:t>That hedging can affect price direction. The exposure is large enough that the question is legitimate. But direction depends on the missing option series and counterparties. We need the strikes, expirations, trade times, exercises, assignments, written options, stock inventory, swaps, and hedge transactions. Without those fields, declaring the gross 13F rows a net suppression position would be pretending the wrapper is the whole package.</w:t>
      </w:r>
    </w:p>
    <w:p>
      <w:r>
        <w:rPr>
          <w:rFonts w:ascii="Calibri" w:hAnsi="Calibri" w:eastAsia="Calibri"/>
          <w:color w:val="1F252B"/>
        </w:rPr>
        <w:t>The right show line is:</w:t>
      </w:r>
    </w:p>
    <w:p>
      <w:pPr>
        <w:pStyle w:val="ApeCallout"/>
        <w:shd w:fill="EAF2F8"/>
        <w:pBdr>
          <w:left w:val="single" w:sz="18" w:space="8" w:color="2E74B5"/>
        </w:pBdr>
      </w:pPr>
      <w:r>
        <w:rPr>
          <w:rFonts w:ascii="Calibri" w:hAnsi="Calibri" w:eastAsia="Calibri"/>
          <w:color w:val="1F252B"/>
        </w:rPr>
        <w:t>Citadel Advisors disclosed enough AMC option exposure to demand a hedge reconstruction. The public form does not reveal whether the combined book pushed the market up, pushed it down, or mostly offset itself.</w:t>
      </w:r>
    </w:p>
    <w:p>
      <w:r>
        <w:rPr>
          <w:rFonts w:ascii="Calibri" w:hAnsi="Calibri" w:eastAsia="Calibri"/>
          <w:color w:val="1F252B"/>
        </w:rPr>
        <w:t>That is not walking away from the connection. That is defining the evidence needed to complete it.</w:t>
      </w:r>
    </w:p>
    <w:p>
      <w:pPr>
        <w:pStyle w:val="Heading1"/>
        <w:ind w:left="0" w:right="0" w:firstLine="0"/>
        <w:jc w:val="left"/>
      </w:pPr>
      <w:r>
        <w:rPr>
          <w:rFonts w:ascii="Calibri" w:hAnsi="Calibri" w:eastAsia="Calibri"/>
          <w:b/>
          <w:color w:val="2E74B5"/>
          <w:sz w:val="32"/>
        </w:rPr>
        <w:t>Could This Exposure Influence Price?</w:t>
      </w:r>
    </w:p>
    <w:p>
      <w:r>
        <w:rPr>
          <w:rFonts w:ascii="Calibri" w:hAnsi="Calibri" w:eastAsia="Calibri"/>
          <w:color w:val="1F252B"/>
        </w:rPr>
        <w:t>Yes. Large options exposure can create real stock-market demand through dealer hedging. Large internalized retail flow can also affect where orders interact, how much displayed liquidity appears on exchanges, and which firms carry temporary inventory. Clearing margin can force firms to reduce risk. Fails can trigger closeout obligations. Stock-loan recalls can force purchases. New share issuance can provide delivery inventory. Every one of those mechanisms can move price.</w:t>
      </w:r>
    </w:p>
    <w:p>
      <w:r>
        <w:rPr>
          <w:rFonts w:ascii="Calibri" w:hAnsi="Calibri" w:eastAsia="Calibri"/>
          <w:color w:val="1F252B"/>
        </w:rPr>
        <w:t>But “can influence” is not the same as “was used to suppress.” Suppression is an allegation about conduct and intent.</w:t>
      </w:r>
    </w:p>
    <w:p>
      <w:r>
        <w:rPr>
          <w:rFonts w:ascii="Calibri" w:hAnsi="Calibri" w:eastAsia="Calibri"/>
          <w:color w:val="1F252B"/>
        </w:rPr>
        <w:t>To prove manipulation, we need a prohibited act connected to the price. Examples include spoofing or layering, wash or matched trades, intentionally false short-sale markings, false or unreasonable locates, sham option transactions used to evade closeout duties, trading ahead of customer orders, coordinated routing designed to cap a price, or communications showing an agreement to move or contain the market.</w:t>
      </w:r>
    </w:p>
    <w:p>
      <w:r>
        <w:rPr>
          <w:rFonts w:ascii="Calibri" w:hAnsi="Calibri" w:eastAsia="Calibri"/>
          <w:color w:val="1F252B"/>
        </w:rPr>
        <w:t>The June overlap establishes four things:</w:t>
      </w:r>
    </w:p>
    <w:p>
      <w:pPr>
        <w:spacing w:after="80" w:line="290" w:lineRule="auto"/>
        <w:numPr>
          <w:ilvl w:val="0"/>
          <w:numId w:val="11"/>
        </w:numPr>
      </w:pPr>
      <w:r>
        <w:rPr>
          <w:rFonts w:ascii="Calibri" w:hAnsi="Calibri" w:eastAsia="Calibri"/>
          <w:b/>
          <w:color w:val="1F252B"/>
        </w:rPr>
        <w:t>Economic exposure:</w:t>
      </w:r>
      <w:r>
        <w:rPr>
          <w:rFonts w:ascii="Calibri" w:hAnsi="Calibri" w:eastAsia="Calibri"/>
          <w:color w:val="1F252B"/>
        </w:rPr>
        <w:t xml:space="preserve"> Citadel Advisors had substantial reported AMC options.</w:t>
      </w:r>
    </w:p>
    <w:p>
      <w:pPr>
        <w:spacing w:after="80" w:line="290" w:lineRule="auto"/>
        <w:numPr>
          <w:ilvl w:val="0"/>
          <w:numId w:val="11"/>
        </w:numPr>
      </w:pPr>
      <w:r>
        <w:rPr>
          <w:rFonts w:ascii="Calibri" w:hAnsi="Calibri" w:eastAsia="Calibri"/>
          <w:b/>
          <w:color w:val="1F252B"/>
        </w:rPr>
        <w:t>Market access:</w:t>
      </w:r>
      <w:r>
        <w:rPr>
          <w:rFonts w:ascii="Calibri" w:hAnsi="Calibri" w:eastAsia="Calibri"/>
          <w:color w:val="1F252B"/>
        </w:rPr>
        <w:t xml:space="preserve"> Citadel Securities occupied a central retail execution position.</w:t>
      </w:r>
    </w:p>
    <w:p>
      <w:pPr>
        <w:spacing w:after="80" w:line="290" w:lineRule="auto"/>
        <w:numPr>
          <w:ilvl w:val="0"/>
          <w:numId w:val="11"/>
        </w:numPr>
      </w:pPr>
      <w:r>
        <w:rPr>
          <w:rFonts w:ascii="Calibri" w:hAnsi="Calibri" w:eastAsia="Calibri"/>
          <w:b/>
          <w:color w:val="1F252B"/>
        </w:rPr>
        <w:t>Settlement stress:</w:t>
      </w:r>
      <w:r>
        <w:rPr>
          <w:rFonts w:ascii="Calibri" w:hAnsi="Calibri" w:eastAsia="Calibri"/>
          <w:color w:val="1F252B"/>
        </w:rPr>
        <w:t xml:space="preserve"> AMC carried millions of aggregate FTDs and entered the threshold list.</w:t>
      </w:r>
    </w:p>
    <w:p>
      <w:pPr>
        <w:spacing w:after="80" w:line="290" w:lineRule="auto"/>
        <w:numPr>
          <w:ilvl w:val="0"/>
          <w:numId w:val="11"/>
        </w:numPr>
      </w:pPr>
      <w:r>
        <w:rPr>
          <w:rFonts w:ascii="Calibri" w:hAnsi="Calibri" w:eastAsia="Calibri"/>
          <w:b/>
          <w:color w:val="1F252B"/>
        </w:rPr>
        <w:t>Price consequence:</w:t>
      </w:r>
      <w:r>
        <w:rPr>
          <w:rFonts w:ascii="Calibri" w:hAnsi="Calibri" w:eastAsia="Calibri"/>
          <w:color w:val="1F252B"/>
        </w:rPr>
        <w:t xml:space="preserve"> AMC lost 53.96% from the June 2 high to the July 14 close.</w:t>
      </w:r>
    </w:p>
    <w:p>
      <w:r>
        <w:rPr>
          <w:rFonts w:ascii="Calibri" w:hAnsi="Calibri" w:eastAsia="Calibri"/>
          <w:color w:val="1F252B"/>
        </w:rPr>
        <w:t>Those are the ingredients of an investigation. The transaction bridge is the recipe.</w:t>
      </w:r>
    </w:p>
    <w:p>
      <w:r>
        <w:rPr>
          <w:rFonts w:ascii="Calibri" w:hAnsi="Calibri" w:eastAsia="Calibri"/>
          <w:color w:val="1F252B"/>
        </w:rPr>
        <w:t>If the CAT and OATS records show ordinary customers selling, lawful short sellers meeting locate requirements, market makers hedging bona fide positions, and closeouts occurring on time, then the decline may be ugly without being illegal. If the records show false markings, sham closeouts, coordinated matched orders, spoofing, or concealment, then we have the prohibited act.</w:t>
      </w:r>
    </w:p>
    <w:p>
      <w:r>
        <w:rPr>
          <w:rFonts w:ascii="Calibri" w:hAnsi="Calibri" w:eastAsia="Calibri"/>
          <w:color w:val="1F252B"/>
        </w:rPr>
        <w:t>This is why the phrase “show me the order trail” is more powerful than “look at the red candle.”</w:t>
      </w:r>
    </w:p>
    <w:p>
      <w:pPr>
        <w:pStyle w:val="Heading1"/>
        <w:ind w:left="0" w:right="0" w:firstLine="0"/>
        <w:jc w:val="left"/>
      </w:pPr>
      <w:r>
        <w:rPr>
          <w:rFonts w:ascii="Calibri" w:hAnsi="Calibri" w:eastAsia="Calibri"/>
          <w:b/>
          <w:color w:val="2E74B5"/>
          <w:sz w:val="32"/>
        </w:rPr>
        <w:t>The Historical Compliance Record: Relevant, but Not a Time Machine</w:t>
      </w:r>
    </w:p>
    <w:p>
      <w:r>
        <w:rPr>
          <w:rFonts w:ascii="Calibri" w:hAnsi="Calibri" w:eastAsia="Calibri"/>
          <w:color w:val="1F252B"/>
        </w:rPr>
        <w:t>Citadel Securities has a documented compliance history involving order handling and short-sale controls. That history is relevant when deciding which records deserve scrutiny. It is not a shortcut proving AMC misconduct.</w:t>
      </w:r>
    </w:p>
    <w:p>
      <w:r>
        <w:rPr>
          <w:rFonts w:ascii="Calibri" w:hAnsi="Calibri" w:eastAsia="Calibri"/>
          <w:color w:val="1F252B"/>
        </w:rPr>
        <w:t>In 2023, the SEC found that a coding error caused Citadel Securities to mark millions of orders inaccurately as long or short over a period from September 2015 through September 2020. Citadel paid a $7 million penalty. The SEC order says the errors were not biased toward long or short markings and did not benefit Citadel’s trading strategies. The identified period ended before the January and June 2021 AMC events.</w:t>
      </w:r>
    </w:p>
    <w:p>
      <w:r>
        <w:rPr>
          <w:rFonts w:ascii="Calibri" w:hAnsi="Calibri" w:eastAsia="Calibri"/>
          <w:color w:val="1F252B"/>
        </w:rPr>
        <w:t>FINRA’s BrokerCheck record also includes an older 2013 matter involving closeout, locate, and supervisory failures under Regulation SHO. Again, that matter predates AMC’s 2021 event by years and does not identify AMC.</w:t>
      </w:r>
    </w:p>
    <w:p>
      <w:r>
        <w:rPr>
          <w:rFonts w:ascii="Calibri" w:hAnsi="Calibri" w:eastAsia="Calibri"/>
          <w:color w:val="1F252B"/>
        </w:rPr>
        <w:t>The correct use of this history is narrow: it proves that order-marking, locate, closeout, and customer-order controls can fail even at a sophisticated market maker. Therefore, the 2021 AMC data should be verified against the original order and account records. It does not allow us to declare that the same failure happened again without evidence.</w:t>
      </w:r>
    </w:p>
    <w:p>
      <w:r>
        <w:rPr>
          <w:rFonts w:ascii="Calibri" w:hAnsi="Calibri" w:eastAsia="Calibri"/>
          <w:color w:val="1F252B"/>
        </w:rPr>
        <w:t>Wall Street loves two extremes. One side says prior violations prove every later trade was criminal. The other says a settled violation has no relevance to future auditing. Both are lazy. Prior control failures justify examination. Current liability requires current proof.</w:t>
      </w:r>
    </w:p>
    <w:p>
      <w:pPr>
        <w:pStyle w:val="Heading1"/>
        <w:ind w:left="0" w:right="0" w:firstLine="0"/>
        <w:jc w:val="left"/>
      </w:pPr>
      <w:r>
        <w:rPr>
          <w:rFonts w:ascii="Calibri" w:hAnsi="Calibri" w:eastAsia="Calibri"/>
          <w:b/>
          <w:color w:val="2E74B5"/>
          <w:sz w:val="32"/>
        </w:rPr>
        <w:t>Where January and June Connect</w:t>
      </w:r>
    </w:p>
    <w:p>
      <w:r>
        <w:rPr>
          <w:rFonts w:ascii="Calibri" w:hAnsi="Calibri" w:eastAsia="Calibri"/>
          <w:color w:val="1F252B"/>
        </w:rPr>
        <w:t>January and June are not the same event, but they expose the same structural weakness: public market data show the outcome while hiding the participant-level chain.</w:t>
      </w:r>
    </w:p>
    <w:p>
      <w:r>
        <w:rPr>
          <w:rFonts w:ascii="Calibri" w:hAnsi="Calibri" w:eastAsia="Calibri"/>
          <w:color w:val="1F252B"/>
        </w:rPr>
        <w:t>In January, the public eventually learned that AMC created approximately $850 million of Robinhood’s Value-at-Risk charge, Apex saw 118% notional margin requirements, and one anonymous $385 million paired trade distorted Apex’s clearing exposure. But the public still does not know the proprietary firm’s identity.</w:t>
      </w:r>
    </w:p>
    <w:p>
      <w:r>
        <w:rPr>
          <w:rFonts w:ascii="Calibri" w:hAnsi="Calibri" w:eastAsia="Calibri"/>
          <w:color w:val="1F252B"/>
        </w:rPr>
        <w:t>In June, the public can see the price collapse, short-interest snapshots, FTD balances, threshold-list dates, off-exchange short-sale volume, and quarter-end option positions. But the public still cannot identify the accounts that produced the settlement fails, the firms that carried the short-marked inventory, or the hedges created by the options book.</w:t>
      </w:r>
    </w:p>
    <w:p>
      <w:r>
        <w:rPr>
          <w:rFonts w:ascii="Calibri" w:hAnsi="Calibri" w:eastAsia="Calibri"/>
          <w:color w:val="1F252B"/>
        </w:rPr>
        <w:t>January proves AMC exposure can threaten broker liquidity and affect trading access. June proves AMC can develop a settlement and options event while the price loses more than half its value. The common problem is not that every number proves crime. The common problem is that the records capable of separating lawful activity from unlawful activity remain behind participant and regulator walls.</w:t>
      </w:r>
    </w:p>
    <w:p>
      <w:r>
        <w:rPr>
          <w:rFonts w:ascii="Calibri" w:hAnsi="Calibri" w:eastAsia="Calibri"/>
          <w:color w:val="1F252B"/>
        </w:rPr>
        <w:t>That is the connection we can defend:</w:t>
      </w:r>
    </w:p>
    <w:p>
      <w:pPr>
        <w:pStyle w:val="ApeCallout"/>
        <w:shd w:fill="EAF2F8"/>
        <w:pBdr>
          <w:left w:val="single" w:sz="18" w:space="8" w:color="2E74B5"/>
        </w:pBdr>
      </w:pPr>
      <w:r>
        <w:rPr>
          <w:rFonts w:ascii="Calibri" w:hAnsi="Calibri" w:eastAsia="Calibri"/>
          <w:color w:val="1F252B"/>
        </w:rPr>
        <w:t>AMC repeatedly generated market-plumbing consequences large enough to affect collateral, settlement, routing, and risk. Public aggregate data document the consequences but withhold the account-level cause.</w:t>
      </w:r>
    </w:p>
    <w:p>
      <w:r>
        <w:rPr>
          <w:rFonts w:ascii="Calibri" w:hAnsi="Calibri" w:eastAsia="Calibri"/>
          <w:color w:val="1F252B"/>
        </w:rPr>
        <w:t>The investigation should use January 27–28 as the comparison case and June 1–July 16 as the primary reconstruction window. The same questions apply to both periods: who submitted the orders, who executed them, who cleared them, how were they marked, what inventory supported them, what collateral was demanded, and what records show the economic purpose?</w:t>
      </w:r>
    </w:p>
    <w:p>
      <w:pPr>
        <w:pStyle w:val="Heading1"/>
        <w:ind w:left="0" w:right="0" w:firstLine="0"/>
        <w:jc w:val="left"/>
      </w:pPr>
      <w:r>
        <w:rPr>
          <w:rFonts w:ascii="Calibri" w:hAnsi="Calibri" w:eastAsia="Calibri"/>
          <w:b/>
          <w:color w:val="2E74B5"/>
          <w:sz w:val="32"/>
        </w:rPr>
        <w:t>Retail Ownership and the Float Expansion Trick</w:t>
      </w:r>
    </w:p>
    <w:p>
      <w:r>
        <w:rPr>
          <w:rFonts w:ascii="Calibri" w:hAnsi="Calibri" w:eastAsia="Calibri"/>
          <w:color w:val="1F252B"/>
        </w:rPr>
        <w:t>AMC reported approximately 4.1 million eligible shareholders as of June 2, 2021 and said more than 80% of the company was held by retail investors. That is a historical company statement tied to a specific record date. It is not a permanent census of every beneficial owner in 2026.</w:t>
      </w:r>
    </w:p>
    <w:p>
      <w:r>
        <w:rPr>
          <w:rFonts w:ascii="Calibri" w:hAnsi="Calibri" w:eastAsia="Calibri"/>
          <w:color w:val="1F252B"/>
        </w:rPr>
        <w:t>When the float expands, ownership percentages can change even if the original investors do not sell. New shares increase the denominator. If retail owns 400 million shares out of 500 million, retail owns 80%. If the company issues another 500 million shares and retail still owns the same 400 million, the retail percentage becomes 40% even though the original holders did not sell a single share. That is dilution math.</w:t>
      </w:r>
    </w:p>
    <w:p>
      <w:r>
        <w:rPr>
          <w:rFonts w:ascii="Calibri" w:hAnsi="Calibri" w:eastAsia="Calibri"/>
          <w:color w:val="1F252B"/>
        </w:rPr>
        <w:t>But float expansion alone does not prove retail lost control. We must know who purchased or received the new shares and who later owned them. Noteholders, underwriters, institutions, market makers, retail buyers, and stock-loan desks can all change the ownership picture.</w:t>
      </w:r>
    </w:p>
    <w:p>
      <w:r>
        <w:rPr>
          <w:rFonts w:ascii="Calibri" w:hAnsi="Calibri" w:eastAsia="Calibri"/>
          <w:color w:val="1F252B"/>
        </w:rPr>
        <w:t>Transfer-agent registered-holder counts do not solve the problem because millions of beneficial owners can sit behind a relatively small number of broker or DTC nominee accounts. “Cede &amp; Co.” can represent an enormous street-name population. That is why a current retail-ownership claim needs a fresh proxy-intermediary or company-supported beneficial-owner analysis tied to a defined record date.</w:t>
      </w:r>
    </w:p>
    <w:p>
      <w:r>
        <w:rPr>
          <w:rFonts w:ascii="Calibri" w:hAnsi="Calibri" w:eastAsia="Calibri"/>
          <w:color w:val="1F252B"/>
        </w:rPr>
        <w:t>The historical 4.1 million figure matters because it proves the scale of retail participation during the June event. It does not let us claim the same count or percentage forever without new evidence.</w:t>
      </w:r>
    </w:p>
    <w:p>
      <w:pPr>
        <w:pStyle w:val="Heading1"/>
        <w:ind w:left="0" w:right="0" w:firstLine="0"/>
        <w:jc w:val="left"/>
      </w:pPr>
      <w:r>
        <w:rPr>
          <w:rFonts w:ascii="Calibri" w:hAnsi="Calibri" w:eastAsia="Calibri"/>
          <w:b/>
          <w:color w:val="2E74B5"/>
          <w:sz w:val="32"/>
        </w:rPr>
        <w:t>APE Entitlements and Tokenization: October Is a Checkpoint, Not a Squeeze Date</w:t>
      </w:r>
    </w:p>
    <w:p>
      <w:r>
        <w:rPr>
          <w:rFonts w:ascii="Calibri" w:hAnsi="Calibri" w:eastAsia="Calibri"/>
          <w:color w:val="1F252B"/>
        </w:rPr>
        <w:t>The APE entitlement problem belongs in the same ledger-reconciliation investigation. DTC processed the APE distribution and later conversion at the participant level. Brokers were responsible for allocating customer entitlements inside their own subledgers. If investors received incorrect APE quantities, delayed postings, cash substitutions, or unresolved conversion entries, the proof lives in the pre-event statement, post-event statement, CUSIP, broker ledger, corporate-action notice, ACATS exception, and written correction.</w:t>
      </w:r>
    </w:p>
    <w:p>
      <w:r>
        <w:rPr>
          <w:rFonts w:ascii="Calibri" w:hAnsi="Calibri" w:eastAsia="Calibri"/>
          <w:color w:val="1F252B"/>
        </w:rPr>
        <w:t>Tokenization does not automatically repair those records.</w:t>
      </w:r>
    </w:p>
    <w:p>
      <w:r>
        <w:rPr>
          <w:rFonts w:ascii="Calibri" w:hAnsi="Calibri" w:eastAsia="Calibri"/>
          <w:color w:val="1F252B"/>
        </w:rPr>
        <w:t>DTCC says its voluntary Tokenization Service is expected to launch in October 2026. The public materials reviewed for this report do not verify an October 15 or October 26 launch date. The service is designed to tokenize existing DTC participant security entitlements. A participant moves an entitlement into a digital omnibus account, DTC mints a corresponding token, transfers are recorded, and the token must be burned before the entitlement returns to the traditional account. Cede &amp; Co. remains the registered holder in the indirect system.</w:t>
      </w:r>
    </w:p>
    <w:p>
      <w:r>
        <w:rPr>
          <w:rFonts w:ascii="Calibri" w:hAnsi="Calibri" w:eastAsia="Calibri"/>
          <w:color w:val="1F252B"/>
        </w:rPr>
        <w:t>The customer entitlement still exists on the broker or participant’s books. The tokenization service does not automatically compare every customer statement to DTC, expose every swap, force every short to close, or repair an old APE allocation.</w:t>
      </w:r>
    </w:p>
    <w:p>
      <w:r>
        <w:rPr>
          <w:rFonts w:ascii="Calibri" w:hAnsi="Calibri" w:eastAsia="Calibri"/>
          <w:color w:val="1F252B"/>
        </w:rPr>
        <w:t>October matters because a new ledger rail increases the importance of clean participant reconciliation. It is a systems checkpoint. It is not a guaranteed closeout date.</w:t>
      </w:r>
    </w:p>
    <w:p>
      <w:r>
        <w:rPr>
          <w:rFonts w:ascii="Calibri" w:hAnsi="Calibri" w:eastAsia="Calibri"/>
          <w:color w:val="1F252B"/>
        </w:rPr>
        <w:t>The exact APE question remains:</w:t>
      </w:r>
    </w:p>
    <w:p>
      <w:pPr>
        <w:pStyle w:val="ApeCallout"/>
        <w:shd w:fill="EAF2F8"/>
        <w:pBdr>
          <w:left w:val="single" w:sz="18" w:space="8" w:color="2E74B5"/>
        </w:pBdr>
      </w:pPr>
      <w:r>
        <w:rPr>
          <w:rFonts w:ascii="Calibri" w:hAnsi="Calibri" w:eastAsia="Calibri"/>
          <w:color w:val="1F252B"/>
        </w:rPr>
        <w:t>How many AMC and APE entitlements did each DTC participant receive, and do the participant’s customer subledger, securities-lending ledger, CNS activity, and corporate-action postings reconcile to that quantity?</w:t>
      </w:r>
    </w:p>
    <w:p>
      <w:r>
        <w:rPr>
          <w:rFonts w:ascii="Calibri" w:hAnsi="Calibri" w:eastAsia="Calibri"/>
          <w:color w:val="1F252B"/>
        </w:rPr>
        <w:t>If a broker has unresolved customer entitlements, tokenization does not make the old obligation disappear. But proving the mismatch requires broker-specific evidence. The Ape Cage can help by standardizing redacted statements and building a reconciliation package instead of collecting anonymous stories that cannot be audited.</w:t>
      </w:r>
    </w:p>
    <w:p>
      <w:pPr>
        <w:pStyle w:val="Heading1"/>
        <w:ind w:left="0" w:right="0" w:firstLine="0"/>
        <w:jc w:val="left"/>
      </w:pPr>
      <w:r>
        <w:rPr>
          <w:rFonts w:ascii="Calibri" w:hAnsi="Calibri" w:eastAsia="Calibri"/>
          <w:b/>
          <w:color w:val="2E74B5"/>
          <w:sz w:val="32"/>
        </w:rPr>
        <w:t>Negative Carry, War, Inflation, and Why We Refuse to Promise a Date</w:t>
      </w:r>
    </w:p>
    <w:p>
      <w:r>
        <w:rPr>
          <w:rFonts w:ascii="Calibri" w:hAnsi="Calibri" w:eastAsia="Calibri"/>
          <w:color w:val="1F252B"/>
        </w:rPr>
        <w:t>The macro connection is real when we express it as a funding chain rather than a prophecy.</w:t>
      </w:r>
    </w:p>
    <w:p>
      <w:r>
        <w:rPr>
          <w:rFonts w:ascii="Calibri" w:hAnsi="Calibri" w:eastAsia="Calibri"/>
          <w:color w:val="1F252B"/>
        </w:rPr>
        <w:t>War can raise energy, shipping, insurance, and commodity costs. Those pressures can keep inflation elevated. Persistent inflation can keep interest rates and funding costs higher. Japan imports large amounts of dollar-priced energy, so a weak yen can increase domestic cost pressure. If the Bank of Japan tightens policy, intervenes, or markets suddenly reverse a crowded yen-funded trade, the yen can strengthen quickly.</w:t>
      </w:r>
    </w:p>
    <w:p>
      <w:r>
        <w:rPr>
          <w:rFonts w:ascii="Calibri" w:hAnsi="Calibri" w:eastAsia="Calibri"/>
          <w:color w:val="1F252B"/>
        </w:rPr>
        <w:t>Funds that borrowed cheap yen to buy higher-yielding or riskier assets can then lose on the currency, the asset, or both. Prime brokers may raise haircuts or demand more collateral. Clearinghouses can increase margin. Leveraged firms then sell liquid assets, reduce gross exposure, unwind options, return borrowed shares, or close swaps.</w:t>
      </w:r>
    </w:p>
    <w:p>
      <w:r>
        <w:rPr>
          <w:rFonts w:ascii="Calibri" w:hAnsi="Calibri" w:eastAsia="Calibri"/>
          <w:color w:val="1F252B"/>
        </w:rPr>
        <w:t>That is the negative carry-trade transmission mechanism.</w:t>
      </w:r>
    </w:p>
    <w:p>
      <w:r>
        <w:rPr>
          <w:rFonts w:ascii="Calibri" w:hAnsi="Calibri" w:eastAsia="Calibri"/>
          <w:color w:val="1F252B"/>
        </w:rPr>
        <w:t>AMC is affected only if the same accounts, dealers, or financing books carry material AMC short, option, swap, or stock-loan exposure. The macro event creates pressure. The counterparty record connects the pressure to AMC.</w:t>
      </w:r>
    </w:p>
    <w:p>
      <w:r>
        <w:rPr>
          <w:rFonts w:ascii="Calibri" w:hAnsi="Calibri" w:eastAsia="Calibri"/>
          <w:color w:val="1F252B"/>
        </w:rPr>
        <w:t>Low overnight reverse-repo balances do not mean the financial system has “run out of money.” The facility measures cash parked in one Federal Reserve program. Banks, dealers, funds, and clearing members have other cash, repo, credit, collateral, and financing channels. Money can become expensive, haircuts can rise, collateral can lose value, and balance-sheet capacity can shrink without the reverse-repo balance acting like a countdown clock.</w:t>
      </w:r>
    </w:p>
    <w:p>
      <w:r>
        <w:rPr>
          <w:rFonts w:ascii="Calibri" w:hAnsi="Calibri" w:eastAsia="Calibri"/>
          <w:color w:val="1F252B"/>
        </w:rPr>
        <w:t>So when people ask, “How long can this continue?” the factual answer is that leverage can be refinanced, netted, transferred, hedged, or supported longer than anyone expects. It can also break faster than anyone expects when collateral correlations change. That is why we monitor conditions instead of selling a date.</w:t>
      </w:r>
    </w:p>
    <w:p>
      <w:r>
        <w:rPr>
          <w:rFonts w:ascii="Calibri" w:hAnsi="Calibri" w:eastAsia="Calibri"/>
          <w:color w:val="1F252B"/>
        </w:rPr>
        <w:t>The signals that matter are borrow tightness, stock-loan recalls, rising rebate or borrow fees, persistent FTDs, participant margin demands, equity issuance, disclosed derivative exposure, dealer balance-sheet stress, FX volatility, repo haircuts, and evidence of forced deleveraging. October may bring a tokenization checkpoint. It is not a promise that money runs out on the fifteenth, twenty-sixth, or any other day.</w:t>
      </w:r>
    </w:p>
    <w:p>
      <w:pPr>
        <w:pStyle w:val="Heading1"/>
        <w:ind w:left="0" w:right="0" w:firstLine="0"/>
        <w:jc w:val="left"/>
      </w:pPr>
      <w:r>
        <w:rPr>
          <w:rFonts w:ascii="Calibri" w:hAnsi="Calibri" w:eastAsia="Calibri"/>
          <w:b/>
          <w:color w:val="2E74B5"/>
          <w:sz w:val="32"/>
        </w:rPr>
        <w:t>What Would Actually Prove Suppression?</w:t>
      </w:r>
    </w:p>
    <w:p>
      <w:r>
        <w:rPr>
          <w:rFonts w:ascii="Calibri" w:hAnsi="Calibri" w:eastAsia="Calibri"/>
          <w:color w:val="1F252B"/>
        </w:rPr>
        <w:t>We need to be specific enough that a regulator could read the list and know exactly what to pull.</w:t>
      </w:r>
    </w:p>
    <w:p>
      <w:pPr>
        <w:pStyle w:val="Heading2"/>
        <w:ind w:left="0" w:right="0" w:firstLine="0"/>
        <w:jc w:val="left"/>
      </w:pPr>
      <w:r>
        <w:rPr>
          <w:rFonts w:ascii="Calibri" w:hAnsi="Calibri" w:eastAsia="Calibri"/>
          <w:b/>
          <w:color w:val="2E74B5"/>
          <w:sz w:val="26"/>
        </w:rPr>
        <w:t>January 27–28, 2021</w:t>
      </w:r>
    </w:p>
    <w:p>
      <w:pPr>
        <w:spacing w:after="80" w:line="290" w:lineRule="auto"/>
        <w:numPr>
          <w:ilvl w:val="0"/>
          <w:numId w:val="12"/>
        </w:numPr>
      </w:pPr>
      <w:r>
        <w:rPr>
          <w:rFonts w:ascii="Calibri" w:hAnsi="Calibri" w:eastAsia="Calibri"/>
          <w:color w:val="1F252B"/>
        </w:rPr>
        <w:t>Apex’s account identity, MPID, correspondent code, orders, routes, executions, manual-correction ticket, and clearing entries for the $385 million paired AMC trade.</w:t>
      </w:r>
    </w:p>
    <w:p>
      <w:pPr>
        <w:spacing w:after="80" w:line="290" w:lineRule="auto"/>
        <w:numPr>
          <w:ilvl w:val="0"/>
          <w:numId w:val="12"/>
        </w:numPr>
      </w:pPr>
      <w:r>
        <w:rPr>
          <w:rFonts w:ascii="Calibri" w:hAnsi="Calibri" w:eastAsia="Calibri"/>
          <w:color w:val="1F252B"/>
        </w:rPr>
        <w:t>The NSCC symbol-level calculation inputs behind Apex’s and Robinhood’s AMC charges.</w:t>
      </w:r>
    </w:p>
    <w:p>
      <w:pPr>
        <w:spacing w:after="80" w:line="290" w:lineRule="auto"/>
        <w:numPr>
          <w:ilvl w:val="0"/>
          <w:numId w:val="12"/>
        </w:numPr>
      </w:pPr>
      <w:r>
        <w:rPr>
          <w:rFonts w:ascii="Calibri" w:hAnsi="Calibri" w:eastAsia="Calibri"/>
          <w:color w:val="1F252B"/>
        </w:rPr>
        <w:t>Robinhood’s complete restriction decision log and communications with NSCC, market makers, regulators, and financing sources.</w:t>
      </w:r>
    </w:p>
    <w:p>
      <w:pPr>
        <w:spacing w:after="80" w:line="290" w:lineRule="auto"/>
        <w:numPr>
          <w:ilvl w:val="0"/>
          <w:numId w:val="12"/>
        </w:numPr>
      </w:pPr>
      <w:r>
        <w:rPr>
          <w:rFonts w:ascii="Calibri" w:hAnsi="Calibri" w:eastAsia="Calibri"/>
          <w:color w:val="1F252B"/>
        </w:rPr>
        <w:t>Citadel Securities’ AMC order-flow, inventory, risk-limit, and hedge records for the event.</w:t>
      </w:r>
    </w:p>
    <w:p>
      <w:pPr>
        <w:pStyle w:val="Heading2"/>
        <w:ind w:left="0" w:right="0" w:firstLine="0"/>
        <w:jc w:val="left"/>
      </w:pPr>
      <w:r>
        <w:rPr>
          <w:rFonts w:ascii="Calibri" w:hAnsi="Calibri" w:eastAsia="Calibri"/>
          <w:b/>
          <w:color w:val="2E74B5"/>
          <w:sz w:val="26"/>
        </w:rPr>
        <w:t>June 1–July 16, 2021</w:t>
      </w:r>
    </w:p>
    <w:p>
      <w:pPr>
        <w:spacing w:after="80" w:line="290" w:lineRule="auto"/>
        <w:numPr>
          <w:ilvl w:val="0"/>
          <w:numId w:val="13"/>
        </w:numPr>
      </w:pPr>
      <w:r>
        <w:rPr>
          <w:rFonts w:ascii="Calibri" w:hAnsi="Calibri" w:eastAsia="Calibri"/>
          <w:color w:val="1F252B"/>
        </w:rPr>
        <w:t>OATS and CAT lifecycle data for AMC orders, including firm, account type, capacity, short marking, route, execution, cancel, reject, and correction.</w:t>
      </w:r>
    </w:p>
    <w:p>
      <w:pPr>
        <w:spacing w:after="80" w:line="290" w:lineRule="auto"/>
        <w:numPr>
          <w:ilvl w:val="0"/>
          <w:numId w:val="13"/>
        </w:numPr>
      </w:pPr>
      <w:r>
        <w:rPr>
          <w:rFonts w:ascii="Calibri" w:hAnsi="Calibri" w:eastAsia="Calibri"/>
          <w:color w:val="1F252B"/>
        </w:rPr>
        <w:t>Electronic Blue Sheets identifying accounts and beneficial owners behind large sell programs and matched transactions.</w:t>
      </w:r>
    </w:p>
    <w:p>
      <w:pPr>
        <w:spacing w:after="80" w:line="290" w:lineRule="auto"/>
        <w:numPr>
          <w:ilvl w:val="0"/>
          <w:numId w:val="13"/>
        </w:numPr>
      </w:pPr>
      <w:r>
        <w:rPr>
          <w:rFonts w:ascii="Calibri" w:hAnsi="Calibri" w:eastAsia="Calibri"/>
          <w:color w:val="1F252B"/>
        </w:rPr>
        <w:t>Citadel Securities’ AMC stock inventory, delta, gamma, option hedge, Rule 605, execution-quality, and risk-limit records.</w:t>
      </w:r>
    </w:p>
    <w:p>
      <w:pPr>
        <w:spacing w:after="80" w:line="290" w:lineRule="auto"/>
        <w:numPr>
          <w:ilvl w:val="0"/>
          <w:numId w:val="13"/>
        </w:numPr>
      </w:pPr>
      <w:r>
        <w:rPr>
          <w:rFonts w:ascii="Calibri" w:hAnsi="Calibri" w:eastAsia="Calibri"/>
          <w:color w:val="1F252B"/>
        </w:rPr>
        <w:t>Citadel Advisors’ AMC option-series, stock, written-option, swap, prime-broker, and collateral records.</w:t>
      </w:r>
    </w:p>
    <w:p>
      <w:pPr>
        <w:spacing w:after="80" w:line="290" w:lineRule="auto"/>
        <w:numPr>
          <w:ilvl w:val="0"/>
          <w:numId w:val="13"/>
        </w:numPr>
      </w:pPr>
      <w:r>
        <w:rPr>
          <w:rFonts w:ascii="Calibri" w:hAnsi="Calibri" w:eastAsia="Calibri"/>
          <w:color w:val="1F252B"/>
        </w:rPr>
        <w:t>OCC member-level positions, CMTA and give-up allocations, exercises, assignments, and intraday margin calls.</w:t>
      </w:r>
    </w:p>
    <w:p>
      <w:pPr>
        <w:spacing w:after="80" w:line="290" w:lineRule="auto"/>
        <w:numPr>
          <w:ilvl w:val="0"/>
          <w:numId w:val="13"/>
        </w:numPr>
      </w:pPr>
      <w:r>
        <w:rPr>
          <w:rFonts w:ascii="Calibri" w:hAnsi="Calibri" w:eastAsia="Calibri"/>
          <w:color w:val="1F252B"/>
        </w:rPr>
        <w:t>NSCC participant-level CNS fails, allocations, buy-ins, closeouts, and stock-borrow activity from June 1 through July 9.</w:t>
      </w:r>
    </w:p>
    <w:p>
      <w:pPr>
        <w:spacing w:after="80" w:line="290" w:lineRule="auto"/>
        <w:numPr>
          <w:ilvl w:val="0"/>
          <w:numId w:val="13"/>
        </w:numPr>
      </w:pPr>
      <w:r>
        <w:rPr>
          <w:rFonts w:ascii="Calibri" w:hAnsi="Calibri" w:eastAsia="Calibri"/>
          <w:color w:val="1F252B"/>
        </w:rPr>
        <w:t>Locate tickets, short-sale markings, bona fide market-making status, and Rule 204 closeout records for accounts contributing to the threshold balances.</w:t>
      </w:r>
    </w:p>
    <w:p>
      <w:pPr>
        <w:spacing w:after="80" w:line="290" w:lineRule="auto"/>
        <w:numPr>
          <w:ilvl w:val="0"/>
          <w:numId w:val="13"/>
        </w:numPr>
      </w:pPr>
      <w:r>
        <w:rPr>
          <w:rFonts w:ascii="Calibri" w:hAnsi="Calibri" w:eastAsia="Calibri"/>
          <w:color w:val="1F252B"/>
        </w:rPr>
        <w:t>Stock-loan origin, recall, return, rebate, and availability records covering the same period.</w:t>
      </w:r>
    </w:p>
    <w:p>
      <w:pPr>
        <w:pStyle w:val="Heading2"/>
        <w:ind w:left="0" w:right="0" w:firstLine="0"/>
        <w:jc w:val="left"/>
      </w:pPr>
      <w:r>
        <w:rPr>
          <w:rFonts w:ascii="Calibri" w:hAnsi="Calibri" w:eastAsia="Calibri"/>
          <w:b/>
          <w:color w:val="2E74B5"/>
          <w:sz w:val="26"/>
        </w:rPr>
        <w:t>APE and current entitlement reconciliation</w:t>
      </w:r>
    </w:p>
    <w:p>
      <w:pPr>
        <w:spacing w:after="80" w:line="290" w:lineRule="auto"/>
        <w:numPr>
          <w:ilvl w:val="0"/>
          <w:numId w:val="14"/>
        </w:numPr>
      </w:pPr>
      <w:r>
        <w:rPr>
          <w:rFonts w:ascii="Calibri" w:hAnsi="Calibri" w:eastAsia="Calibri"/>
          <w:color w:val="1F252B"/>
        </w:rPr>
        <w:t>DTC participant allocations for the August 2022 APE distribution and August 2023 conversion.</w:t>
      </w:r>
    </w:p>
    <w:p>
      <w:pPr>
        <w:spacing w:after="80" w:line="290" w:lineRule="auto"/>
        <w:numPr>
          <w:ilvl w:val="0"/>
          <w:numId w:val="14"/>
        </w:numPr>
      </w:pPr>
      <w:r>
        <w:rPr>
          <w:rFonts w:ascii="Calibri" w:hAnsi="Calibri" w:eastAsia="Calibri"/>
          <w:color w:val="1F252B"/>
        </w:rPr>
        <w:t>Broker customer subledgers before and after each event.</w:t>
      </w:r>
    </w:p>
    <w:p>
      <w:pPr>
        <w:spacing w:after="80" w:line="290" w:lineRule="auto"/>
        <w:numPr>
          <w:ilvl w:val="0"/>
          <w:numId w:val="14"/>
        </w:numPr>
      </w:pPr>
      <w:r>
        <w:rPr>
          <w:rFonts w:ascii="Calibri" w:hAnsi="Calibri" w:eastAsia="Calibri"/>
          <w:color w:val="1F252B"/>
        </w:rPr>
        <w:t>Securities-lending entries spanning record, payable, and conversion dates.</w:t>
      </w:r>
    </w:p>
    <w:p>
      <w:pPr>
        <w:spacing w:after="80" w:line="290" w:lineRule="auto"/>
        <w:numPr>
          <w:ilvl w:val="0"/>
          <w:numId w:val="14"/>
        </w:numPr>
      </w:pPr>
      <w:r>
        <w:rPr>
          <w:rFonts w:ascii="Calibri" w:hAnsi="Calibri" w:eastAsia="Calibri"/>
          <w:color w:val="1F252B"/>
        </w:rPr>
        <w:t>ACATS exceptions, cash-in-lieu calculations, and broker corrections.</w:t>
      </w:r>
    </w:p>
    <w:p>
      <w:pPr>
        <w:spacing w:after="80" w:line="290" w:lineRule="auto"/>
        <w:numPr>
          <w:ilvl w:val="0"/>
          <w:numId w:val="14"/>
        </w:numPr>
      </w:pPr>
      <w:r>
        <w:rPr>
          <w:rFonts w:ascii="Calibri" w:hAnsi="Calibri" w:eastAsia="Calibri"/>
          <w:color w:val="1F252B"/>
        </w:rPr>
        <w:t>A standardized redacted investor evidence package allowing discrepancies to be counted without exposing personal information.</w:t>
      </w:r>
    </w:p>
    <w:p>
      <w:pPr>
        <w:pStyle w:val="Heading2"/>
        <w:ind w:left="0" w:right="0" w:firstLine="0"/>
        <w:jc w:val="left"/>
      </w:pPr>
      <w:r>
        <w:rPr>
          <w:rFonts w:ascii="Calibri" w:hAnsi="Calibri" w:eastAsia="Calibri"/>
          <w:b/>
          <w:color w:val="2E74B5"/>
          <w:sz w:val="26"/>
        </w:rPr>
        <w:t>What the records must show</w:t>
      </w:r>
    </w:p>
    <w:p>
      <w:r>
        <w:rPr>
          <w:rFonts w:ascii="Calibri" w:hAnsi="Calibri" w:eastAsia="Calibri"/>
          <w:color w:val="1F252B"/>
        </w:rPr>
        <w:t>The records could establish lawful market making, ordinary hedging, dilution-driven selling, legitimate stock borrowing, and timely closeout. They could also establish spoofing, layering, wash trading, false locates, inaccurate short markings, sham option closeouts, trading ahead, concealment, or coordination.</w:t>
      </w:r>
    </w:p>
    <w:p>
      <w:r>
        <w:rPr>
          <w:rFonts w:ascii="Calibri" w:hAnsi="Calibri" w:eastAsia="Calibri"/>
          <w:color w:val="1F252B"/>
        </w:rPr>
        <w:t>That is the point of the investigation. We are not asking the data to agree with us. We are asking the original records to tell us what happened.</w:t>
      </w:r>
    </w:p>
    <w:p>
      <w:pPr>
        <w:pStyle w:val="Heading1"/>
        <w:ind w:left="0" w:right="0" w:firstLine="0"/>
        <w:jc w:val="left"/>
      </w:pPr>
      <w:r>
        <w:rPr>
          <w:rFonts w:ascii="Calibri" w:hAnsi="Calibri" w:eastAsia="Calibri"/>
          <w:b/>
          <w:color w:val="2E74B5"/>
          <w:sz w:val="32"/>
        </w:rPr>
        <w:t>The Reportable Conclusion</w:t>
      </w:r>
    </w:p>
    <w:p>
      <w:r>
        <w:rPr>
          <w:rFonts w:ascii="Calibri" w:hAnsi="Calibri" w:eastAsia="Calibri"/>
          <w:color w:val="1F252B"/>
        </w:rPr>
        <w:t>Here is what we can say on the show without outrunning the evidence.</w:t>
      </w:r>
    </w:p>
    <w:p>
      <w:r>
        <w:rPr>
          <w:rFonts w:ascii="Calibri" w:hAnsi="Calibri" w:eastAsia="Calibri"/>
          <w:b/>
          <w:color w:val="1F252B"/>
        </w:rPr>
        <w:t>Documented fact:</w:t>
      </w:r>
      <w:r>
        <w:rPr>
          <w:rFonts w:ascii="Calibri" w:hAnsi="Calibri" w:eastAsia="Calibri"/>
          <w:color w:val="1F252B"/>
        </w:rPr>
        <w:t xml:space="preserve"> AMC was a major source of clearing risk in January 2021. Robinhood attributed approximately $850 million of its Value-at-Risk charge to AMC. Apex faced an AMC margin requirement of 118% of notional value. An unnamed proprietary firm submitted paired AMC trades of approximately $385 million less than one second apart, and asymmetric processing temporarily distorted Apex’s exposure.</w:t>
      </w:r>
    </w:p>
    <w:p>
      <w:r>
        <w:rPr>
          <w:rFonts w:ascii="Calibri" w:hAnsi="Calibri" w:eastAsia="Calibri"/>
          <w:b/>
          <w:color w:val="1F252B"/>
        </w:rPr>
        <w:t>Documented fact:</w:t>
      </w:r>
      <w:r>
        <w:rPr>
          <w:rFonts w:ascii="Calibri" w:hAnsi="Calibri" w:eastAsia="Calibri"/>
          <w:color w:val="1F252B"/>
        </w:rPr>
        <w:t xml:space="preserve"> AMC reached $72.62 on June 2 and closed at $33.43 on July 14, a 53.96% decline in 42 days.</w:t>
      </w:r>
    </w:p>
    <w:p>
      <w:r>
        <w:rPr>
          <w:rFonts w:ascii="Calibri" w:hAnsi="Calibri" w:eastAsia="Calibri"/>
          <w:b/>
          <w:color w:val="1F252B"/>
        </w:rPr>
        <w:t>Documented fact:</w:t>
      </w:r>
      <w:r>
        <w:rPr>
          <w:rFonts w:ascii="Calibri" w:hAnsi="Calibri" w:eastAsia="Calibri"/>
          <w:color w:val="1F252B"/>
        </w:rPr>
        <w:t xml:space="preserve"> AMC carried multi-million-share FTD balances, entered the NYSE threshold list June 25, remained through July 8, and experienced a large aggregate settlement reduction in early July.</w:t>
      </w:r>
    </w:p>
    <w:p>
      <w:r>
        <w:rPr>
          <w:rFonts w:ascii="Calibri" w:hAnsi="Calibri" w:eastAsia="Calibri"/>
          <w:b/>
          <w:color w:val="1F252B"/>
        </w:rPr>
        <w:t>Documented fact:</w:t>
      </w:r>
      <w:r>
        <w:rPr>
          <w:rFonts w:ascii="Calibri" w:hAnsi="Calibri" w:eastAsia="Calibri"/>
          <w:color w:val="1F252B"/>
        </w:rPr>
        <w:t xml:space="preserve"> FINRA’s June daily files contain 2.888 billion AMC shares of publicly disseminated off-exchange regular-hours volume, including 1.170 billion shares marked short or short-exempt.</w:t>
      </w:r>
    </w:p>
    <w:p>
      <w:r>
        <w:rPr>
          <w:rFonts w:ascii="Calibri" w:hAnsi="Calibri" w:eastAsia="Calibri"/>
          <w:b/>
          <w:color w:val="1F252B"/>
        </w:rPr>
        <w:t>Documented fact:</w:t>
      </w:r>
      <w:r>
        <w:rPr>
          <w:rFonts w:ascii="Calibri" w:hAnsi="Calibri" w:eastAsia="Calibri"/>
          <w:color w:val="1F252B"/>
        </w:rPr>
        <w:t xml:space="preserve"> Citadel Advisors reported 14.3725 million underlying AMC shares represented by long puts and calls at June 30. Citadel Securities and Citadel Advisors were separate entities under common control, and Citadel Securities occupied a central retail execution role.</w:t>
      </w:r>
    </w:p>
    <w:p>
      <w:r>
        <w:rPr>
          <w:rFonts w:ascii="Calibri" w:hAnsi="Calibri" w:eastAsia="Calibri"/>
          <w:b/>
          <w:color w:val="1F252B"/>
        </w:rPr>
        <w:t>Strong inference:</w:t>
      </w:r>
      <w:r>
        <w:rPr>
          <w:rFonts w:ascii="Calibri" w:hAnsi="Calibri" w:eastAsia="Calibri"/>
          <w:color w:val="1F252B"/>
        </w:rPr>
        <w:t xml:space="preserve"> The overlap of price decline, settlement stress, short-marked off-exchange execution, reported short interest, and large option exposure justifies a participant-level hedge and order-trail reconstruction.</w:t>
      </w:r>
    </w:p>
    <w:p>
      <w:r>
        <w:rPr>
          <w:rFonts w:ascii="Calibri" w:hAnsi="Calibri" w:eastAsia="Calibri"/>
          <w:b/>
          <w:color w:val="1F252B"/>
        </w:rPr>
        <w:t>Candidate identification:</w:t>
      </w:r>
      <w:r>
        <w:rPr>
          <w:rFonts w:ascii="Calibri" w:hAnsi="Calibri" w:eastAsia="Calibri"/>
          <w:color w:val="1F252B"/>
        </w:rPr>
        <w:t xml:space="preserve"> PEAK6 Capital Management is the strongest public candidate for Apex’s unnamed proprietary trading firm because of its proprietary-trading role, Apex clearing and JBO relationship, PAB accounts, ownership proximity, and emergency financing. The public record does not identify PEAK6 as the trader.</w:t>
      </w:r>
    </w:p>
    <w:p>
      <w:r>
        <w:rPr>
          <w:rFonts w:ascii="Calibri" w:hAnsi="Calibri" w:eastAsia="Calibri"/>
          <w:b/>
          <w:color w:val="1F252B"/>
        </w:rPr>
        <w:t>Unproven allegation:</w:t>
      </w:r>
      <w:r>
        <w:rPr>
          <w:rFonts w:ascii="Calibri" w:hAnsi="Calibri" w:eastAsia="Calibri"/>
          <w:color w:val="1F252B"/>
        </w:rPr>
        <w:t xml:space="preserve"> No public record reviewed here proves that Citadel, PEAK6, another hedge fund, a bank, a broker, or a government official deliberately suppressed AMC in June 2021 or jointly committed a criminal conspiracy.</w:t>
      </w:r>
    </w:p>
    <w:p>
      <w:r>
        <w:rPr>
          <w:rFonts w:ascii="Calibri" w:hAnsi="Calibri" w:eastAsia="Calibri"/>
          <w:color w:val="1F252B"/>
        </w:rPr>
        <w:t>That final sentence does not weaken the report. It protects every fact above it.</w:t>
      </w:r>
    </w:p>
    <w:p>
      <w:pPr>
        <w:pStyle w:val="Heading1"/>
        <w:ind w:left="0" w:right="0" w:firstLine="0"/>
        <w:jc w:val="left"/>
      </w:pPr>
      <w:r>
        <w:rPr>
          <w:rFonts w:ascii="Calibri" w:hAnsi="Calibri" w:eastAsia="Calibri"/>
          <w:b/>
          <w:color w:val="2E74B5"/>
          <w:sz w:val="32"/>
        </w:rPr>
        <w:t>Closing: The Market Owes Us the Ledger</w:t>
      </w:r>
    </w:p>
    <w:p>
      <w:r>
        <w:rPr>
          <w:rFonts w:ascii="Calibri" w:hAnsi="Calibri" w:eastAsia="Calibri"/>
          <w:color w:val="1F252B"/>
        </w:rPr>
        <w:t>For five years, retail has been told to stop asking questions because the story was already explained. January was volatility. June was momentum. FTDs were operational. Off-exchange volume was normal. Options were hedging. Dilution was necessary. APE was processed. Short interest was reported. Tokenization is innovation. Every pipe has an explanation when you examine it alone.</w:t>
      </w:r>
    </w:p>
    <w:p>
      <w:r>
        <w:rPr>
          <w:rFonts w:ascii="Calibri" w:hAnsi="Calibri" w:eastAsia="Calibri"/>
          <w:color w:val="1F252B"/>
        </w:rPr>
        <w:t>The problem is what happens when the pipes meet.</w:t>
      </w:r>
    </w:p>
    <w:p>
      <w:r>
        <w:rPr>
          <w:rFonts w:ascii="Calibri" w:hAnsi="Calibri" w:eastAsia="Calibri"/>
          <w:color w:val="1F252B"/>
        </w:rPr>
        <w:t>AMC can create $850 million of clearing Value-at-Risk at one broker. An anonymous proprietary firm can send $385 million of paired trades through Apex and temporarily distort the clearing picture. AMC can run to $72.62, lose 54% in 42 days, carry millions of FTDs, enter the threshold list, trade billions of shares off-exchange, and sit underneath large disclosed option exposure. Retail can remain historically dominant while the current beneficial-owner count becomes harder to verify. Brokers can control customer APE entries inside subledgers the public cannot inspect. A new tokenization rail can arrive without automatically reconciling the old books.</w:t>
      </w:r>
    </w:p>
    <w:p>
      <w:r>
        <w:rPr>
          <w:rFonts w:ascii="Calibri" w:hAnsi="Calibri" w:eastAsia="Calibri"/>
          <w:color w:val="1F252B"/>
        </w:rPr>
        <w:t>Each event has a normal explanation available. Fine. Put every normal explanation on the table.</w:t>
      </w:r>
    </w:p>
    <w:p>
      <w:r>
        <w:rPr>
          <w:rFonts w:ascii="Calibri" w:hAnsi="Calibri" w:eastAsia="Calibri"/>
          <w:color w:val="1F252B"/>
        </w:rPr>
        <w:t>Then put the original records beside it.</w:t>
      </w:r>
    </w:p>
    <w:p>
      <w:r>
        <w:rPr>
          <w:rFonts w:ascii="Calibri" w:hAnsi="Calibri" w:eastAsia="Calibri"/>
          <w:color w:val="1F252B"/>
        </w:rPr>
        <w:t>If the paired trade was harmless, name the account and show the correction trail. If the June FTDs were ordinary, show the participant aging and deliveries. If Citadel’s options were neutral, show the series and hedge reconstruction. If off-exchange execution helped retail, show the venue-level execution quality and inventory. If every APE entitlement reconciled, show the participant allocations and customer subledgers. If tokenization begins with clean books, prove the opening balances.</w:t>
      </w:r>
    </w:p>
    <w:p>
      <w:r>
        <w:rPr>
          <w:rFonts w:ascii="Calibri" w:hAnsi="Calibri" w:eastAsia="Calibri"/>
          <w:color w:val="1F252B"/>
        </w:rPr>
        <w:t>We are not asking for a fairy tale where every red candle is a crime. We are asking for the ledger that distinguishes the lawful trade from the unlawful one.</w:t>
      </w:r>
    </w:p>
    <w:p>
      <w:r>
        <w:rPr>
          <w:rFonts w:ascii="Calibri" w:hAnsi="Calibri" w:eastAsia="Calibri"/>
          <w:color w:val="1F252B"/>
        </w:rPr>
        <w:t>People ask me how long this can continue. The honest answer is that opacity can continue until records, capital, collateral, or law forces the system to reconcile. I will not give the audience a date because a date is easy to mock and impossible to audit. I will give them the conditions. I will give them the documents. I will give them the missing records. And I will keep following the chain until the numbers balance or somebody has to explain why they do not.</w:t>
      </w:r>
    </w:p>
    <w:p>
      <w:r>
        <w:rPr>
          <w:rFonts w:ascii="Calibri" w:hAnsi="Calibri" w:eastAsia="Calibri"/>
          <w:color w:val="1F252B"/>
        </w:rPr>
        <w:t>They called us dumb money.</w:t>
      </w:r>
    </w:p>
    <w:p>
      <w:r>
        <w:rPr>
          <w:rFonts w:ascii="Calibri" w:hAnsi="Calibri" w:eastAsia="Calibri"/>
          <w:color w:val="1F252B"/>
        </w:rPr>
        <w:t>Dumb money found the $385 million trade.</w:t>
      </w:r>
    </w:p>
    <w:p>
      <w:r>
        <w:rPr>
          <w:rFonts w:ascii="Calibri" w:hAnsi="Calibri" w:eastAsia="Calibri"/>
          <w:color w:val="1F252B"/>
        </w:rPr>
        <w:t>Dumb money rebuilt June.</w:t>
      </w:r>
    </w:p>
    <w:p>
      <w:r>
        <w:rPr>
          <w:rFonts w:ascii="Calibri" w:hAnsi="Calibri" w:eastAsia="Calibri"/>
          <w:color w:val="1F252B"/>
        </w:rPr>
        <w:t>Dumb money read the short-interest files, the FTD files, the threshold list, the 13Fs, and the clearing report.</w:t>
      </w:r>
    </w:p>
    <w:p>
      <w:r>
        <w:rPr>
          <w:rFonts w:ascii="Calibri" w:hAnsi="Calibri" w:eastAsia="Calibri"/>
          <w:color w:val="1F252B"/>
        </w:rPr>
        <w:t>Now the market can show us the ledger.</w:t>
      </w:r>
    </w:p>
    <w:p>
      <w:pPr>
        <w:pStyle w:val="Heading1"/>
        <w:pageBreakBefore/>
        <w:ind w:left="0" w:right="0" w:firstLine="0"/>
        <w:jc w:val="left"/>
      </w:pPr>
      <w:r>
        <w:rPr>
          <w:rFonts w:ascii="Calibri" w:hAnsi="Calibri" w:eastAsia="Calibri"/>
          <w:b/>
          <w:color w:val="2E74B5"/>
          <w:sz w:val="32"/>
        </w:rPr>
        <w:t>Final Word: One Market, Two Sets of Rules</w:t>
      </w:r>
    </w:p>
    <w:p>
      <w:r>
        <w:rPr>
          <w:rFonts w:ascii="Calibri" w:hAnsi="Calibri" w:eastAsia="Calibri"/>
          <w:color w:val="1F252B"/>
        </w:rPr>
        <w:t>My final word is the obvious question the system keeps trying to make sound unreasonable: why do wealthy and institutionally connected people appear to operate under a different set of rules than ordinary investors?</w:t>
      </w:r>
    </w:p>
    <w:p>
      <w:r>
        <w:rPr>
          <w:rFonts w:ascii="Calibri" w:hAnsi="Calibri" w:eastAsia="Calibri"/>
          <w:color w:val="1F252B"/>
        </w:rPr>
        <w:t>In February 2021, Kenneth Griffin told Congress that Citadel Securities had no role in Robinhood's decision to restrict meme-stock trading and said he first learned of the restrictions after they were publicly announced. When Representative Juan Vargas asked whether anyone at Citadel had talked to Robinhood about restricting or preventing purchases, Griffin answered, "Absolutely not," and agreed that deposing everyone in the organization would confirm it.</w:t>
      </w:r>
    </w:p>
    <w:p>
      <w:r>
        <w:rPr>
          <w:rFonts w:ascii="Calibri" w:hAnsi="Calibri" w:eastAsia="Calibri"/>
          <w:color w:val="1F252B"/>
        </w:rPr>
        <w:t>The later House investigation did not publish evidence proving that Citadel Securities instructed Robinhood to restrict AMC or GME purchases. We must state that clearly. But the investigation did establish that Citadel Securities and Robinhood were in direct, tense, commercially consequential contact on the evening before the restrictions. They were negotiating payment-for-order-flow economics specifically tied to GME and AMC. Citadel proposed a monetary cap for volatile symbols, said Robinhood might need to route elsewhere if it did not limit the rebates, held an 8 p.m. call, and later accepted Robinhood's proposal.</w:t>
      </w:r>
    </w:p>
    <w:p>
      <w:r>
        <w:rPr>
          <w:rFonts w:ascii="Calibri" w:hAnsi="Calibri" w:eastAsia="Calibri"/>
          <w:color w:val="1F252B"/>
        </w:rPr>
        <w:t>That record does not prove the narrow congressional answer was false. It does destroy any broad public impression that Citadel and Robinhood were distant strangers while January unfolded. Citadel was a central execution partner; the firms were communicating about the economics of AMC and GME order flow; and the market still has not received the complete communications, order trail, inventory, and hedge record needed to test every representation.</w:t>
      </w:r>
    </w:p>
    <w:p>
      <w:r>
        <w:rPr>
          <w:rFonts w:ascii="Calibri" w:hAnsi="Calibri" w:eastAsia="Calibri"/>
          <w:color w:val="1F252B"/>
        </w:rPr>
        <w:t>So I will put the credibility issue this way on the record:</w:t>
      </w:r>
    </w:p>
    <w:p>
      <w:pPr>
        <w:pStyle w:val="ApeCallout"/>
        <w:shd w:fill="EAF2F8"/>
        <w:pBdr>
          <w:left w:val="single" w:sz="18" w:space="8" w:color="2E74B5"/>
        </w:pBdr>
      </w:pPr>
      <w:r>
        <w:rPr>
          <w:rFonts w:ascii="Calibri" w:hAnsi="Calibri" w:eastAsia="Calibri"/>
          <w:color w:val="1F252B"/>
        </w:rPr>
        <w:t>Citadel's clean January narrative is contradicted by the depth and timing of the contact later documented by Congress. Whether that contradiction legally proves a lie depends on the exact words, the full communications, and evidence of what Citadel personnel knew about the coming restrictions. Produce those records, and let the evidence decide.</w:t>
      </w:r>
    </w:p>
    <w:p>
      <w:r>
        <w:rPr>
          <w:rFonts w:ascii="Calibri" w:hAnsi="Calibri" w:eastAsia="Calibri"/>
          <w:color w:val="1F252B"/>
        </w:rPr>
        <w:t>That is not letting anybody off the hook. It is refusing to hand their lawyers an easy escape by claiming the public record proves more than it does.</w:t>
      </w:r>
    </w:p>
    <w:p>
      <w:r>
        <w:rPr>
          <w:rFonts w:ascii="Calibri" w:hAnsi="Calibri" w:eastAsia="Calibri"/>
          <w:color w:val="1F252B"/>
        </w:rPr>
        <w:t>And then comes the inequality ordinary people can see with their own eyes. A retail customer gets a margin call, an account restriction, or a forced liquidation. A large institution gets netting, credit facilities, confidential regulatory discussions, manual trade corrections, legal teams, and years to argue about what a rule meant. A retail trader's mistake can change a life before lunch. A systemically important firm's control failure can become a negotiated civil settlement years later, often without the public ever receiving the transaction-level records that would show the full market effect.</w:t>
      </w:r>
    </w:p>
    <w:p>
      <w:r>
        <w:rPr>
          <w:rFonts w:ascii="Calibri" w:hAnsi="Calibri" w:eastAsia="Calibri"/>
          <w:color w:val="1F252B"/>
        </w:rPr>
        <w:t>Not every difference is illegal. Market makers, clearing members, and brokers perform different functions and are subject to different rules. But legal complexity becomes a shield when only the institutions can see the evidence, only the regulators can obtain it, and the public receives an aggregate number with the names removed.</w:t>
      </w:r>
    </w:p>
    <w:p>
      <w:r>
        <w:rPr>
          <w:rFonts w:ascii="Calibri" w:hAnsi="Calibri" w:eastAsia="Calibri"/>
          <w:color w:val="1F252B"/>
        </w:rPr>
        <w:t>That is why this investigation matters. Equality does not mean pretending every market participant has the same job. Equality means the same obligation to tell the truth, preserve the records, obey the trading rules, and face consequences proportionate to the harm.</w:t>
      </w:r>
    </w:p>
    <w:p>
      <w:r>
        <w:rPr>
          <w:rFonts w:ascii="Calibri" w:hAnsi="Calibri" w:eastAsia="Calibri"/>
          <w:color w:val="1F252B"/>
        </w:rPr>
        <w:t>If Citadel's conduct was lawful, the complete record should clear it. If the anonymous Apex trade was harmless, the complete record should identify and explain it. If the June decline was ordinary price discovery, the participant-level order, hedge, locate, and settlement data should show that. The wealthy should not receive a presumption of innocence plus permanent secrecy while retail receives suspicion plus immediate punishment.</w:t>
      </w:r>
    </w:p>
    <w:p>
      <w:r>
        <w:rPr>
          <w:rFonts w:ascii="Calibri" w:hAnsi="Calibri" w:eastAsia="Calibri"/>
          <w:color w:val="1F252B"/>
        </w:rPr>
        <w:t>One market. One evidentiary standard. One rulebook that applies whether the account contains ninety-six shares, ninety-six thousand shares, or ninety-six billion dollars.</w:t>
      </w:r>
    </w:p>
    <w:p>
      <w:r>
        <w:rPr>
          <w:rFonts w:ascii="Calibri" w:hAnsi="Calibri" w:eastAsia="Calibri"/>
          <w:color w:val="1F252B"/>
        </w:rPr>
        <w:t>That is my final word.</w:t>
      </w:r>
    </w:p>
    <w:p>
      <w:pPr>
        <w:pStyle w:val="Heading1"/>
        <w:pageBreakBefore/>
        <w:ind w:left="0" w:right="0" w:firstLine="0"/>
        <w:jc w:val="left"/>
      </w:pPr>
      <w:r>
        <w:rPr>
          <w:rFonts w:ascii="Calibri" w:hAnsi="Calibri" w:eastAsia="Calibri"/>
          <w:b/>
          <w:color w:val="2E74B5"/>
          <w:sz w:val="32"/>
        </w:rPr>
        <w:t>Primary Sources</w:t>
      </w:r>
    </w:p>
    <w:p>
      <w:pPr>
        <w:spacing w:after="60" w:line="276" w:lineRule="auto"/>
        <w:ind w:left="518" w:hanging="317"/>
      </w:pPr>
      <w:r>
        <w:rPr>
          <w:rFonts w:ascii="Calibri" w:hAnsi="Calibri" w:eastAsia="Calibri"/>
          <w:b/>
          <w:color w:val="1F252B"/>
        </w:rPr>
        <w:t xml:space="preserve">1. </w:t>
      </w:r>
      <w:r>
        <w:rPr>
          <w:rFonts w:ascii="Calibri" w:hAnsi="Calibri" w:eastAsia="Calibri"/>
          <w:color w:val="1F252B"/>
        </w:rPr>
        <w:t xml:space="preserve">House Financial Services Committee, </w:t>
      </w:r>
      <w:r>
        <w:rPr>
          <w:rFonts w:ascii="Calibri" w:hAnsi="Calibri" w:eastAsia="Calibri"/>
          <w:i/>
          <w:color w:val="1F252B"/>
        </w:rPr>
        <w:t>Game Stopped: How the Meme Stock Market Event Exposed Troubling Business Practices, Inadequate Risk Management, and the Need for Legislative and Regulatory Reform</w:t>
      </w:r>
    </w:p>
    <w:p>
      <w:pPr>
        <w:pStyle w:val="SourceURL"/>
      </w:pPr>
      <w:hyperlink r:id="rId13">
        <w:r>
          <w:rPr>
            <w:rFonts w:ascii="Calibri" w:hAnsi="Calibri" w:eastAsia="Calibri"/>
            <w:color w:val="2E74B5"/>
            <w:u w:val="single"/>
            <w:sz w:val="18"/>
          </w:rPr>
          <w:t>https://democrats-financialservices.house.gov/uploadedfiles/6.22_hfsc_gs.report_hmsmeetbp.irm.nlrf.pdf</w:t>
        </w:r>
      </w:hyperlink>
    </w:p>
    <w:p>
      <w:pPr>
        <w:spacing w:after="60" w:line="276" w:lineRule="auto"/>
        <w:ind w:left="518" w:hanging="317"/>
      </w:pPr>
      <w:r>
        <w:rPr>
          <w:rFonts w:ascii="Calibri" w:hAnsi="Calibri" w:eastAsia="Calibri"/>
          <w:b/>
          <w:color w:val="1F252B"/>
        </w:rPr>
        <w:t xml:space="preserve">2. </w:t>
      </w:r>
      <w:r>
        <w:rPr>
          <w:rFonts w:ascii="Calibri" w:hAnsi="Calibri" w:eastAsia="Calibri"/>
          <w:color w:val="1F252B"/>
        </w:rPr>
        <w:t>Apex Fintech Solutions / PEAK6, April 2021 Form S-4</w:t>
      </w:r>
    </w:p>
    <w:p>
      <w:pPr>
        <w:pStyle w:val="SourceURL"/>
      </w:pPr>
      <w:hyperlink r:id="rId14">
        <w:r>
          <w:rPr>
            <w:rFonts w:ascii="Calibri" w:hAnsi="Calibri" w:eastAsia="Calibri"/>
            <w:color w:val="2E74B5"/>
            <w:u w:val="single"/>
            <w:sz w:val="18"/>
          </w:rPr>
          <w:t>https://www.sec.gov/Archives/edgar/data/1834518/000119312521109685/d121216ds4.htm</w:t>
        </w:r>
      </w:hyperlink>
    </w:p>
    <w:p>
      <w:pPr>
        <w:spacing w:after="60" w:line="276" w:lineRule="auto"/>
        <w:ind w:left="518" w:hanging="317"/>
      </w:pPr>
      <w:r>
        <w:rPr>
          <w:rFonts w:ascii="Calibri" w:hAnsi="Calibri" w:eastAsia="Calibri"/>
          <w:b/>
          <w:color w:val="1F252B"/>
        </w:rPr>
        <w:t xml:space="preserve">3. </w:t>
      </w:r>
      <w:r>
        <w:rPr>
          <w:rFonts w:ascii="Calibri" w:hAnsi="Calibri" w:eastAsia="Calibri"/>
          <w:color w:val="1F252B"/>
        </w:rPr>
        <w:t>AMC June 3, 2021 prospectus, including June 2 high and shares outstanding</w:t>
      </w:r>
    </w:p>
    <w:p>
      <w:pPr>
        <w:pStyle w:val="SourceURL"/>
      </w:pPr>
      <w:hyperlink r:id="rId15">
        <w:r>
          <w:rPr>
            <w:rFonts w:ascii="Calibri" w:hAnsi="Calibri" w:eastAsia="Calibri"/>
            <w:color w:val="2E74B5"/>
            <w:u w:val="single"/>
            <w:sz w:val="18"/>
          </w:rPr>
          <w:t>https://www.sec.gov/Archives/edgar/data/1411579/000110465921076090/tm2118373-1_424b5.htm</w:t>
        </w:r>
      </w:hyperlink>
    </w:p>
    <w:p>
      <w:pPr>
        <w:spacing w:after="60" w:line="276" w:lineRule="auto"/>
        <w:ind w:left="518" w:hanging="317"/>
      </w:pPr>
      <w:r>
        <w:rPr>
          <w:rFonts w:ascii="Calibri" w:hAnsi="Calibri" w:eastAsia="Calibri"/>
          <w:b/>
          <w:color w:val="1F252B"/>
        </w:rPr>
        <w:t xml:space="preserve">4. </w:t>
      </w:r>
      <w:r>
        <w:rPr>
          <w:rFonts w:ascii="Calibri" w:hAnsi="Calibri" w:eastAsia="Calibri"/>
          <w:color w:val="1F252B"/>
        </w:rPr>
        <w:t>AMC June 2021 shareholder count</w:t>
      </w:r>
    </w:p>
    <w:p>
      <w:pPr>
        <w:pStyle w:val="SourceURL"/>
      </w:pPr>
      <w:hyperlink r:id="rId16">
        <w:r>
          <w:rPr>
            <w:rFonts w:ascii="Calibri" w:hAnsi="Calibri" w:eastAsia="Calibri"/>
            <w:color w:val="2E74B5"/>
            <w:u w:val="single"/>
            <w:sz w:val="18"/>
          </w:rPr>
          <w:t>https://investor.amctheatres.com/news-events/press-releases/detail/102/amc-entertainment-holdings-inc-announces-shareholder-count</w:t>
        </w:r>
      </w:hyperlink>
    </w:p>
    <w:p>
      <w:pPr>
        <w:spacing w:after="60" w:line="276" w:lineRule="auto"/>
        <w:ind w:left="518" w:hanging="317"/>
      </w:pPr>
      <w:r>
        <w:rPr>
          <w:rFonts w:ascii="Calibri" w:hAnsi="Calibri" w:eastAsia="Calibri"/>
          <w:b/>
          <w:color w:val="1F252B"/>
        </w:rPr>
        <w:t xml:space="preserve">5. </w:t>
      </w:r>
      <w:r>
        <w:rPr>
          <w:rFonts w:ascii="Calibri" w:hAnsi="Calibri" w:eastAsia="Calibri"/>
          <w:color w:val="1F252B"/>
        </w:rPr>
        <w:t>SEC fails-to-deliver data and methodology</w:t>
      </w:r>
    </w:p>
    <w:p>
      <w:pPr>
        <w:pStyle w:val="SourceURL"/>
      </w:pPr>
      <w:hyperlink r:id="rId17">
        <w:r>
          <w:rPr>
            <w:rFonts w:ascii="Calibri" w:hAnsi="Calibri" w:eastAsia="Calibri"/>
            <w:color w:val="2E74B5"/>
            <w:u w:val="single"/>
            <w:sz w:val="18"/>
          </w:rPr>
          <w:t>https://www.sec.gov/data-research/sec-markets-data/fails-deliver-data</w:t>
        </w:r>
      </w:hyperlink>
    </w:p>
    <w:p>
      <w:pPr>
        <w:spacing w:after="60" w:line="276" w:lineRule="auto"/>
        <w:ind w:left="518" w:hanging="317"/>
      </w:pPr>
      <w:r>
        <w:rPr>
          <w:rFonts w:ascii="Calibri" w:hAnsi="Calibri" w:eastAsia="Calibri"/>
          <w:b/>
          <w:color w:val="1F252B"/>
        </w:rPr>
        <w:t xml:space="preserve">6. </w:t>
      </w:r>
      <w:r>
        <w:rPr>
          <w:rFonts w:ascii="Calibri" w:hAnsi="Calibri" w:eastAsia="Calibri"/>
          <w:color w:val="1F252B"/>
        </w:rPr>
        <w:t>NYSE Regulation SHO threshold-security lists</w:t>
      </w:r>
    </w:p>
    <w:p>
      <w:pPr>
        <w:pStyle w:val="SourceURL"/>
      </w:pPr>
      <w:hyperlink r:id="rId18">
        <w:r>
          <w:rPr>
            <w:rFonts w:ascii="Calibri" w:hAnsi="Calibri" w:eastAsia="Calibri"/>
            <w:color w:val="2E74B5"/>
            <w:u w:val="single"/>
            <w:sz w:val="18"/>
          </w:rPr>
          <w:t>https://www.nyse.com/regulation/regulation-sho</w:t>
        </w:r>
      </w:hyperlink>
    </w:p>
    <w:p>
      <w:pPr>
        <w:spacing w:after="60" w:line="276" w:lineRule="auto"/>
        <w:ind w:left="518" w:hanging="317"/>
      </w:pPr>
      <w:r>
        <w:rPr>
          <w:rFonts w:ascii="Calibri" w:hAnsi="Calibri" w:eastAsia="Calibri"/>
          <w:b/>
          <w:color w:val="1F252B"/>
        </w:rPr>
        <w:t xml:space="preserve">7. </w:t>
      </w:r>
      <w:r>
        <w:rPr>
          <w:rFonts w:ascii="Calibri" w:hAnsi="Calibri" w:eastAsia="Calibri"/>
          <w:color w:val="1F252B"/>
        </w:rPr>
        <w:t>SEC / Investor.gov threshold-security definition</w:t>
      </w:r>
    </w:p>
    <w:p>
      <w:pPr>
        <w:pStyle w:val="SourceURL"/>
      </w:pPr>
      <w:hyperlink r:id="rId19">
        <w:r>
          <w:rPr>
            <w:rFonts w:ascii="Calibri" w:hAnsi="Calibri" w:eastAsia="Calibri"/>
            <w:color w:val="2E74B5"/>
            <w:u w:val="single"/>
            <w:sz w:val="18"/>
          </w:rPr>
          <w:t>https://www.investor.gov/introduction-investing/investing-basics/glossary/threshold-securities</w:t>
        </w:r>
      </w:hyperlink>
    </w:p>
    <w:p>
      <w:pPr>
        <w:spacing w:after="60" w:line="276" w:lineRule="auto"/>
        <w:ind w:left="518" w:hanging="317"/>
      </w:pPr>
      <w:r>
        <w:rPr>
          <w:rFonts w:ascii="Calibri" w:hAnsi="Calibri" w:eastAsia="Calibri"/>
          <w:b/>
          <w:color w:val="1F252B"/>
        </w:rPr>
        <w:t xml:space="preserve">8. </w:t>
      </w:r>
      <w:r>
        <w:rPr>
          <w:rFonts w:ascii="Calibri" w:hAnsi="Calibri" w:eastAsia="Calibri"/>
          <w:color w:val="1F252B"/>
        </w:rPr>
        <w:t>FINRA May 28, June 15, June 30, and July 15, 2021 short-interest files</w:t>
      </w:r>
    </w:p>
    <w:p>
      <w:pPr>
        <w:pStyle w:val="SourceURL"/>
      </w:pPr>
      <w:hyperlink r:id="rId20">
        <w:r>
          <w:rPr>
            <w:rFonts w:ascii="Calibri" w:hAnsi="Calibri" w:eastAsia="Calibri"/>
            <w:color w:val="2E74B5"/>
            <w:u w:val="single"/>
            <w:sz w:val="18"/>
          </w:rPr>
          <w:t>https://cdn.finra.org/equity/otcmarket/biweekly/shrt20210528.csv</w:t>
        </w:r>
      </w:hyperlink>
    </w:p>
    <w:p>
      <w:pPr>
        <w:pStyle w:val="SourceURL"/>
      </w:pPr>
      <w:hyperlink r:id="rId21">
        <w:r>
          <w:rPr>
            <w:rFonts w:ascii="Calibri" w:hAnsi="Calibri" w:eastAsia="Calibri"/>
            <w:color w:val="2E74B5"/>
            <w:u w:val="single"/>
            <w:sz w:val="18"/>
          </w:rPr>
          <w:t>https://cdn.finra.org/equity/otcmarket/biweekly/shrt20210615.csv</w:t>
        </w:r>
      </w:hyperlink>
    </w:p>
    <w:p>
      <w:pPr>
        <w:pStyle w:val="SourceURL"/>
      </w:pPr>
      <w:hyperlink r:id="rId22">
        <w:r>
          <w:rPr>
            <w:rFonts w:ascii="Calibri" w:hAnsi="Calibri" w:eastAsia="Calibri"/>
            <w:color w:val="2E74B5"/>
            <w:u w:val="single"/>
            <w:sz w:val="18"/>
          </w:rPr>
          <w:t>https://cdn.finra.org/equity/otcmarket/biweekly/shrt20210630.csv</w:t>
        </w:r>
      </w:hyperlink>
    </w:p>
    <w:p>
      <w:pPr>
        <w:pStyle w:val="SourceURL"/>
      </w:pPr>
      <w:hyperlink r:id="rId23">
        <w:r>
          <w:rPr>
            <w:rFonts w:ascii="Calibri" w:hAnsi="Calibri" w:eastAsia="Calibri"/>
            <w:color w:val="2E74B5"/>
            <w:u w:val="single"/>
            <w:sz w:val="18"/>
          </w:rPr>
          <w:t>https://cdn.finra.org/equity/otcmarket/biweekly/shrt20210715.csv</w:t>
        </w:r>
      </w:hyperlink>
    </w:p>
    <w:p>
      <w:pPr>
        <w:spacing w:after="60" w:line="276" w:lineRule="auto"/>
        <w:ind w:left="518" w:hanging="317"/>
      </w:pPr>
      <w:r>
        <w:rPr>
          <w:rFonts w:ascii="Calibri" w:hAnsi="Calibri" w:eastAsia="Calibri"/>
          <w:b/>
          <w:color w:val="1F252B"/>
        </w:rPr>
        <w:t xml:space="preserve">9. </w:t>
      </w:r>
      <w:r>
        <w:rPr>
          <w:rFonts w:ascii="Calibri" w:hAnsi="Calibri" w:eastAsia="Calibri"/>
          <w:color w:val="1F252B"/>
        </w:rPr>
        <w:t>FINRA daily short-sale volume files and methodology</w:t>
      </w:r>
    </w:p>
    <w:p>
      <w:pPr>
        <w:pStyle w:val="SourceURL"/>
      </w:pPr>
      <w:hyperlink r:id="rId24">
        <w:r>
          <w:rPr>
            <w:rFonts w:ascii="Calibri" w:hAnsi="Calibri" w:eastAsia="Calibri"/>
            <w:color w:val="2E74B5"/>
            <w:u w:val="single"/>
            <w:sz w:val="18"/>
          </w:rPr>
          <w:t>https://www.finra.org/finra-data/browse-catalog/short-sale-volume-data/daily-short-sale-volume-files</w:t>
        </w:r>
      </w:hyperlink>
    </w:p>
    <w:p>
      <w:pPr>
        <w:spacing w:after="60" w:line="276" w:lineRule="auto"/>
        <w:ind w:left="518" w:hanging="317"/>
      </w:pPr>
      <w:r>
        <w:rPr>
          <w:rFonts w:ascii="Calibri" w:hAnsi="Calibri" w:eastAsia="Calibri"/>
          <w:b/>
          <w:color w:val="1F252B"/>
        </w:rPr>
        <w:t xml:space="preserve">10. </w:t>
      </w:r>
      <w:r>
        <w:rPr>
          <w:rFonts w:ascii="Calibri" w:hAnsi="Calibri" w:eastAsia="Calibri"/>
          <w:color w:val="1F252B"/>
        </w:rPr>
        <w:t>Citadel Advisors Q4 2020, Q1 2021, and Q2 2021 Form 13F filings</w:t>
      </w:r>
    </w:p>
    <w:p>
      <w:pPr>
        <w:pStyle w:val="SourceURL"/>
      </w:pPr>
      <w:hyperlink r:id="rId25">
        <w:r>
          <w:rPr>
            <w:rFonts w:ascii="Calibri" w:hAnsi="Calibri" w:eastAsia="Calibri"/>
            <w:color w:val="2E74B5"/>
            <w:u w:val="single"/>
            <w:sz w:val="18"/>
          </w:rPr>
          <w:t>https://www.sec.gov/Archives/edgar/data/1423053/000095012321002766/0000950123-21-002766-index.html</w:t>
        </w:r>
      </w:hyperlink>
    </w:p>
    <w:p>
      <w:pPr>
        <w:pStyle w:val="SourceURL"/>
      </w:pPr>
      <w:hyperlink r:id="rId26">
        <w:r>
          <w:rPr>
            <w:rFonts w:ascii="Calibri" w:hAnsi="Calibri" w:eastAsia="Calibri"/>
            <w:color w:val="2E74B5"/>
            <w:u w:val="single"/>
            <w:sz w:val="18"/>
          </w:rPr>
          <w:t>https://www.sec.gov/Archives/edgar/data/1423053/000095012321007261/0000950123-21-007261-index.html</w:t>
        </w:r>
      </w:hyperlink>
    </w:p>
    <w:p>
      <w:pPr>
        <w:pStyle w:val="SourceURL"/>
      </w:pPr>
      <w:hyperlink r:id="rId27">
        <w:r>
          <w:rPr>
            <w:rFonts w:ascii="Calibri" w:hAnsi="Calibri" w:eastAsia="Calibri"/>
            <w:color w:val="2E74B5"/>
            <w:u w:val="single"/>
            <w:sz w:val="18"/>
          </w:rPr>
          <w:t>https://www.sec.gov/Archives/edgar/data/1423053/000095012321011394/0000950123-21-011394-index.html</w:t>
        </w:r>
      </w:hyperlink>
    </w:p>
    <w:p>
      <w:pPr>
        <w:spacing w:after="60" w:line="276" w:lineRule="auto"/>
        <w:ind w:left="518" w:hanging="317"/>
      </w:pPr>
      <w:r>
        <w:rPr>
          <w:rFonts w:ascii="Calibri" w:hAnsi="Calibri" w:eastAsia="Calibri"/>
          <w:b/>
          <w:color w:val="1F252B"/>
        </w:rPr>
        <w:t xml:space="preserve">11. </w:t>
      </w:r>
      <w:r>
        <w:rPr>
          <w:rFonts w:ascii="Calibri" w:hAnsi="Calibri" w:eastAsia="Calibri"/>
          <w:color w:val="1F252B"/>
        </w:rPr>
        <w:t>SEC Form 13F FAQ explaining exclusion of short stock and written options</w:t>
      </w:r>
    </w:p>
    <w:p>
      <w:pPr>
        <w:pStyle w:val="SourceURL"/>
      </w:pPr>
      <w:hyperlink r:id="rId28">
        <w:r>
          <w:rPr>
            <w:rFonts w:ascii="Calibri" w:hAnsi="Calibri" w:eastAsia="Calibri"/>
            <w:color w:val="2E74B5"/>
            <w:u w:val="single"/>
            <w:sz w:val="18"/>
          </w:rPr>
          <w:t>https://www.sec.gov/rules-regulations/staff-guidance/division-investment-management-frequently-asked-questions/frequently-asked-questions-about-form-13f</w:t>
        </w:r>
      </w:hyperlink>
    </w:p>
    <w:p>
      <w:pPr>
        <w:spacing w:after="60" w:line="276" w:lineRule="auto"/>
        <w:ind w:left="518" w:hanging="317"/>
      </w:pPr>
      <w:r>
        <w:rPr>
          <w:rFonts w:ascii="Calibri" w:hAnsi="Calibri" w:eastAsia="Calibri"/>
          <w:b/>
          <w:color w:val="1F252B"/>
        </w:rPr>
        <w:t xml:space="preserve">12. </w:t>
      </w:r>
      <w:r>
        <w:rPr>
          <w:rFonts w:ascii="Calibri" w:hAnsi="Calibri" w:eastAsia="Calibri"/>
          <w:color w:val="1F252B"/>
        </w:rPr>
        <w:t>FINRA BrokerCheck report for Citadel Securities LLC</w:t>
      </w:r>
    </w:p>
    <w:p>
      <w:pPr>
        <w:pStyle w:val="SourceURL"/>
      </w:pPr>
      <w:hyperlink r:id="rId29">
        <w:r>
          <w:rPr>
            <w:rFonts w:ascii="Calibri" w:hAnsi="Calibri" w:eastAsia="Calibri"/>
            <w:color w:val="2E74B5"/>
            <w:u w:val="single"/>
            <w:sz w:val="18"/>
          </w:rPr>
          <w:t>https://files.brokercheck.finra.org/firm/firm_116797.pdf</w:t>
        </w:r>
      </w:hyperlink>
    </w:p>
    <w:p>
      <w:pPr>
        <w:spacing w:after="60" w:line="276" w:lineRule="auto"/>
        <w:ind w:left="518" w:hanging="317"/>
      </w:pPr>
      <w:r>
        <w:rPr>
          <w:rFonts w:ascii="Calibri" w:hAnsi="Calibri" w:eastAsia="Calibri"/>
          <w:b/>
          <w:color w:val="1F252B"/>
        </w:rPr>
        <w:t xml:space="preserve">13. </w:t>
      </w:r>
      <w:r>
        <w:rPr>
          <w:rFonts w:ascii="Calibri" w:hAnsi="Calibri" w:eastAsia="Calibri"/>
          <w:color w:val="1F252B"/>
        </w:rPr>
        <w:t>SEC order concerning Citadel Securities’ 2015–2020 order-marking errors</w:t>
      </w:r>
    </w:p>
    <w:p>
      <w:pPr>
        <w:pStyle w:val="SourceURL"/>
      </w:pPr>
      <w:hyperlink r:id="rId30">
        <w:r>
          <w:rPr>
            <w:rFonts w:ascii="Calibri" w:hAnsi="Calibri" w:eastAsia="Calibri"/>
            <w:color w:val="2E74B5"/>
            <w:u w:val="single"/>
            <w:sz w:val="18"/>
          </w:rPr>
          <w:t>https://www.sec.gov/files/litigation/admin/2023/34-98482.pdf</w:t>
        </w:r>
      </w:hyperlink>
    </w:p>
    <w:p>
      <w:pPr>
        <w:spacing w:after="60" w:line="276" w:lineRule="auto"/>
        <w:ind w:left="518" w:hanging="317"/>
      </w:pPr>
      <w:r>
        <w:rPr>
          <w:rFonts w:ascii="Calibri" w:hAnsi="Calibri" w:eastAsia="Calibri"/>
          <w:b/>
          <w:color w:val="1F252B"/>
        </w:rPr>
        <w:t xml:space="preserve">14. </w:t>
      </w:r>
      <w:r>
        <w:rPr>
          <w:rFonts w:ascii="Calibri" w:hAnsi="Calibri" w:eastAsia="Calibri"/>
          <w:color w:val="1F252B"/>
        </w:rPr>
        <w:t>PEAK6 Q2 2021 Form 13F</w:t>
      </w:r>
    </w:p>
    <w:p>
      <w:pPr>
        <w:pStyle w:val="SourceURL"/>
      </w:pPr>
      <w:hyperlink r:id="rId31">
        <w:r>
          <w:rPr>
            <w:rFonts w:ascii="Calibri" w:hAnsi="Calibri" w:eastAsia="Calibri"/>
            <w:color w:val="2E74B5"/>
            <w:u w:val="single"/>
            <w:sz w:val="18"/>
          </w:rPr>
          <w:t>https://www.sec.gov/Archives/edgar/data/1756111/000175611121000025/0001756111-21-000025-index.html</w:t>
        </w:r>
      </w:hyperlink>
    </w:p>
    <w:p>
      <w:pPr>
        <w:spacing w:after="60" w:line="276" w:lineRule="auto"/>
        <w:ind w:left="518" w:hanging="317"/>
      </w:pPr>
      <w:r>
        <w:rPr>
          <w:rFonts w:ascii="Calibri" w:hAnsi="Calibri" w:eastAsia="Calibri"/>
          <w:b/>
          <w:color w:val="1F252B"/>
        </w:rPr>
        <w:t xml:space="preserve">15. </w:t>
      </w:r>
      <w:r>
        <w:rPr>
          <w:rFonts w:ascii="Calibri" w:hAnsi="Calibri" w:eastAsia="Calibri"/>
          <w:color w:val="1F252B"/>
        </w:rPr>
        <w:t>Reuters, July 14, 2021 AMC close and decline</w:t>
      </w:r>
    </w:p>
    <w:p>
      <w:pPr>
        <w:pStyle w:val="SourceURL"/>
      </w:pPr>
      <w:hyperlink r:id="rId32">
        <w:r>
          <w:rPr>
            <w:rFonts w:ascii="Calibri" w:hAnsi="Calibri" w:eastAsia="Calibri"/>
            <w:color w:val="2E74B5"/>
            <w:u w:val="single"/>
            <w:sz w:val="18"/>
          </w:rPr>
          <w:t>https://www.investing.com/news/stock-market-news/amc-gamestop-shares-fall-to-half-of-their-june-peaks-2558274</w:t>
        </w:r>
      </w:hyperlink>
    </w:p>
    <w:p>
      <w:pPr>
        <w:spacing w:after="60" w:line="276" w:lineRule="auto"/>
        <w:ind w:left="518" w:hanging="317"/>
      </w:pPr>
      <w:r>
        <w:rPr>
          <w:rFonts w:ascii="Calibri" w:hAnsi="Calibri" w:eastAsia="Calibri"/>
          <w:b/>
          <w:color w:val="1F252B"/>
        </w:rPr>
        <w:t xml:space="preserve">16. </w:t>
      </w:r>
      <w:r>
        <w:rPr>
          <w:rFonts w:ascii="Calibri" w:hAnsi="Calibri" w:eastAsia="Calibri"/>
          <w:color w:val="1F252B"/>
        </w:rPr>
        <w:t>DTCC tokenization timeline and live-production announcement</w:t>
      </w:r>
    </w:p>
    <w:p>
      <w:pPr>
        <w:pStyle w:val="SourceURL"/>
      </w:pPr>
      <w:hyperlink r:id="rId33">
        <w:r>
          <w:rPr>
            <w:rFonts w:ascii="Calibri" w:hAnsi="Calibri" w:eastAsia="Calibri"/>
            <w:color w:val="2E74B5"/>
            <w:u w:val="single"/>
            <w:sz w:val="18"/>
          </w:rPr>
          <w:t>https://www.dtcc.com/news/2026/may/04/dtcc-advances-development-of-new-tokenization-service</w:t>
        </w:r>
      </w:hyperlink>
    </w:p>
    <w:p>
      <w:pPr>
        <w:pStyle w:val="SourceURL"/>
      </w:pPr>
      <w:hyperlink r:id="rId34">
        <w:r>
          <w:rPr>
            <w:rFonts w:ascii="Calibri" w:hAnsi="Calibri" w:eastAsia="Calibri"/>
            <w:color w:val="2E74B5"/>
            <w:u w:val="single"/>
            <w:sz w:val="18"/>
          </w:rPr>
          <w:t>https://www.dtcc.com/news/2026/july/15/dtcc-turns-tokenization-into-reality</w:t>
        </w:r>
      </w:hyperlink>
    </w:p>
    <w:p>
      <w:pPr>
        <w:spacing w:after="60" w:line="276" w:lineRule="auto"/>
        <w:ind w:left="518" w:hanging="317"/>
      </w:pPr>
      <w:r>
        <w:rPr>
          <w:rFonts w:ascii="Calibri" w:hAnsi="Calibri" w:eastAsia="Calibri"/>
          <w:b/>
          <w:color w:val="1F252B"/>
        </w:rPr>
        <w:t xml:space="preserve">17. </w:t>
      </w:r>
      <w:r>
        <w:rPr>
          <w:rFonts w:ascii="Calibri" w:hAnsi="Calibri" w:eastAsia="Calibri"/>
          <w:color w:val="1F252B"/>
        </w:rPr>
        <w:t>BIS review of the August 2024 carry-trade unwind</w:t>
      </w:r>
    </w:p>
    <w:p>
      <w:pPr>
        <w:pStyle w:val="SourceURL"/>
      </w:pPr>
      <w:hyperlink r:id="rId35">
        <w:r>
          <w:rPr>
            <w:rFonts w:ascii="Calibri" w:hAnsi="Calibri" w:eastAsia="Calibri"/>
            <w:color w:val="2E74B5"/>
            <w:u w:val="single"/>
            <w:sz w:val="18"/>
          </w:rPr>
          <w:t>https://www.bis.org/publ/bisbull90.htm</w:t>
        </w:r>
      </w:hyperlink>
    </w:p>
    <w:p>
      <w:pPr>
        <w:spacing w:after="60" w:line="276" w:lineRule="auto"/>
        <w:ind w:left="518" w:hanging="317"/>
      </w:pPr>
      <w:r>
        <w:rPr>
          <w:rFonts w:ascii="Calibri" w:hAnsi="Calibri" w:eastAsia="Calibri"/>
          <w:b/>
          <w:color w:val="1F252B"/>
        </w:rPr>
        <w:t xml:space="preserve">18. </w:t>
      </w:r>
      <w:r>
        <w:rPr>
          <w:rFonts w:ascii="Calibri" w:hAnsi="Calibri" w:eastAsia="Calibri"/>
          <w:color w:val="1F252B"/>
        </w:rPr>
        <w:t>U.S. House Financial Services Committee hearing transcript, February 18, 2021</w:t>
      </w:r>
    </w:p>
    <w:p>
      <w:pPr>
        <w:pStyle w:val="SourceURL"/>
      </w:pPr>
      <w:hyperlink r:id="rId36">
        <w:r>
          <w:rPr>
            <w:rFonts w:ascii="Calibri" w:hAnsi="Calibri" w:eastAsia="Calibri"/>
            <w:color w:val="2E74B5"/>
            <w:u w:val="single"/>
            <w:sz w:val="18"/>
          </w:rPr>
          <w:t>https://www.congress.gov/event/117th-congress/house-event/LC67944/text</w:t>
        </w:r>
      </w:hyperlink>
    </w:p>
    <w:p>
      <w:pPr>
        <w:pStyle w:val="Heading1"/>
        <w:ind w:left="0" w:right="0" w:firstLine="0"/>
        <w:jc w:val="left"/>
      </w:pPr>
      <w:r>
        <w:rPr>
          <w:rFonts w:ascii="Calibri" w:hAnsi="Calibri" w:eastAsia="Calibri"/>
          <w:b/>
          <w:color w:val="2E74B5"/>
          <w:sz w:val="32"/>
        </w:rPr>
        <w:t>Editorial Evidence Rule</w:t>
      </w:r>
    </w:p>
    <w:p>
      <w:r>
        <w:rPr>
          <w:rFonts w:ascii="Calibri" w:hAnsi="Calibri" w:eastAsia="Calibri"/>
          <w:color w:val="1F252B"/>
        </w:rPr>
        <w:t xml:space="preserve">Every major claim in the Ape Cage should carry one of five labels: </w:t>
      </w:r>
      <w:r>
        <w:rPr>
          <w:rFonts w:ascii="Calibri" w:hAnsi="Calibri" w:eastAsia="Calibri"/>
          <w:b/>
          <w:color w:val="1F252B"/>
        </w:rPr>
        <w:t>documented fact, sworn allegation, reported statement, analytical inference, or unresolved question</w:t>
      </w:r>
      <w:r>
        <w:rPr>
          <w:rFonts w:ascii="Calibri" w:hAnsi="Calibri" w:eastAsia="Calibri"/>
          <w:color w:val="1F252B"/>
        </w:rPr>
        <w:t>. Lead with the direct record. Identify the inference as an inference. Turn the missing record into the investigative demand. That is how this story becomes a book, a film, and a record that cannot be dismissed as a fantasy.</w:t>
      </w:r>
    </w:p>
    <w:sectPr w:rsidR="00FC693F" w:rsidRPr="0006063C" w:rsidSect="00034616">
      <w:headerReference w:type="default" r:id="rId9"/>
      <w:footerReference w:type="default" r:id="rId10"/>
      <w:headerReference w:type="first" r:id="rId11"/>
      <w:footerReference w:type="first" r:id="rId12"/>
      <w:pgSz w:w="12240" w:h="15840"/>
      <w:pgMar w:top="1224" w:right="1440" w:bottom="1181" w:left="1440" w:header="605" w:footer="605"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olor w:val="66717C"/>
        <w:sz w:val="16"/>
      </w:rPr>
      <w:t xml:space="preserve">THE AMC APE CAGE   •   EVIDENCE REPORT   •   </w:t>
    </w:r>
    <w: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eastAsia="Calibri"/>
        <w:b/>
        <w:color w:val="66717C"/>
        <w:sz w:val="16"/>
      </w:rPr>
      <w:t>THE AMC APE CAGE  |  WHERE DID JUNE GO?</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80"/>
      </w:pPr>
      <w:rPr>
        <w:rFonts w:ascii="Symbol" w:hAnsi="Symbol"/>
      </w:rPr>
    </w:lvl>
  </w:abstractNum>
  <w:num w:numId="10">
    <w:abstractNumId w:val="9"/>
  </w:num>
  <w:abstractNum w:abstractNumId="10">
    <w:multiLevelType w:val="singleLevel"/>
    <w:lvl w:ilvl="0">
      <w:start w:val="1"/>
      <w:numFmt w:val="decimal"/>
      <w:lvlText w:val="%1."/>
      <w:lvlJc w:val="left"/>
      <w:pPr>
        <w:tabs>
          <w:tab w:val="num" w:pos="540"/>
        </w:tabs>
        <w:ind w:left="540" w:hanging="280"/>
      </w:pPr>
    </w:lvl>
  </w:abstractNum>
  <w:num w:numId="11">
    <w:abstractNumId w:val="10"/>
  </w:num>
  <w:abstractNum w:abstractNumId="11">
    <w:multiLevelType w:val="singleLevel"/>
    <w:lvl w:ilvl="0">
      <w:start w:val="1"/>
      <w:numFmt w:val="decimal"/>
      <w:lvlText w:val="%1."/>
      <w:lvlJc w:val="left"/>
      <w:pPr>
        <w:tabs>
          <w:tab w:val="num" w:pos="540"/>
        </w:tabs>
        <w:ind w:left="540" w:hanging="280"/>
      </w:pPr>
    </w:lvl>
  </w:abstractNum>
  <w:num w:numId="12">
    <w:abstractNumId w:val="11"/>
  </w:num>
  <w:abstractNum w:abstractNumId="12">
    <w:multiLevelType w:val="singleLevel"/>
    <w:lvl w:ilvl="0">
      <w:start w:val="1"/>
      <w:numFmt w:val="decimal"/>
      <w:lvlText w:val="%1."/>
      <w:lvlJc w:val="left"/>
      <w:pPr>
        <w:tabs>
          <w:tab w:val="num" w:pos="540"/>
        </w:tabs>
        <w:ind w:left="540" w:hanging="280"/>
      </w:pPr>
    </w:lvl>
  </w:abstractNum>
  <w:num w:numId="13">
    <w:abstractNumId w:val="12"/>
  </w:num>
  <w:abstractNum w:abstractNumId="13">
    <w:multiLevelType w:val="singleLevel"/>
    <w:lvl w:ilvl="0">
      <w:start w:val="1"/>
      <w:numFmt w:val="decimal"/>
      <w:lvlText w:val="%1."/>
      <w:lvlJc w:val="left"/>
      <w:pPr>
        <w:tabs>
          <w:tab w:val="num" w:pos="540"/>
        </w:tabs>
        <w:ind w:left="540" w:hanging="280"/>
      </w:pPr>
    </w:lvl>
  </w:abstract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19" w:lineRule="auto"/>
      <w:jc w:val="both"/>
    </w:pPr>
    <w:rPr>
      <w:rFonts w:ascii="Calibri" w:hAnsi="Calibri" w:eastAsia="Calibri"/>
      <w:color w:val="1F25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200"/>
      <w:outlineLvl w:val="0"/>
    </w:pPr>
    <w:rPr>
      <w:rFonts w:asciiTheme="majorHAnsi" w:eastAsiaTheme="majorEastAsia" w:hAnsiTheme="majorHAnsi" w:cstheme="majorBidi" w:ascii="Calibri" w:hAnsi="Calibri" w:eastAsia="Calibri"/>
      <w:b/>
      <w:bCs/>
      <w:color w:val="2E74B5"/>
      <w:sz w:val="32"/>
      <w:szCs w:val="28"/>
    </w:rPr>
  </w:style>
  <w:style w:type="paragraph" w:styleId="Heading2">
    <w:name w:val="heading 2"/>
    <w:basedOn w:val="Normal"/>
    <w:next w:val="Normal"/>
    <w:link w:val="Heading2Char"/>
    <w:uiPriority w:val="9"/>
    <w:unhideWhenUsed/>
    <w:qFormat/>
    <w:rsid w:val="00FC693F"/>
    <w:pPr>
      <w:keepNext/>
      <w:keepLines/>
      <w:widowControl/>
      <w:spacing w:before="240" w:after="120"/>
      <w:outlineLvl w:val="1"/>
    </w:pPr>
    <w:rPr>
      <w:rFonts w:asciiTheme="majorHAnsi" w:eastAsiaTheme="majorEastAsia" w:hAnsiTheme="majorHAnsi" w:cstheme="majorBidi" w:ascii="Calibri" w:hAnsi="Calibri" w:eastAsia="Calibri"/>
      <w:b/>
      <w:bCs/>
      <w:color w:val="2E74B5"/>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Calibri" w:hAnsi="Calibri" w:eastAsia="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peCallout">
    <w:name w:val="Ape Callout"/>
    <w:pPr>
      <w:keepLines/>
      <w:spacing w:before="160" w:after="200" w:line="288" w:lineRule="auto"/>
      <w:ind w:left="259" w:right="115"/>
    </w:pPr>
    <w:rPr>
      <w:rFonts w:ascii="Calibri" w:hAnsi="Calibri" w:eastAsia="Calibri"/>
      <w:i/>
      <w:color w:val="1F4D78"/>
      <w:sz w:val="22"/>
    </w:rPr>
  </w:style>
  <w:style w:type="paragraph" w:customStyle="1" w:styleId="SourceURL">
    <w:name w:val="Source URL"/>
    <w:pPr>
      <w:spacing w:after="120" w:line="259" w:lineRule="auto"/>
      <w:ind w:left="518"/>
    </w:pPr>
    <w:rPr>
      <w:rFonts w:ascii="Calibri" w:hAnsi="Calibri" w:eastAsia="Calibri"/>
      <w:color w:val="66717C"/>
      <w:sz w:val="18"/>
    </w:rPr>
  </w:style>
  <w:style w:type="paragraph" w:customStyle="1" w:styleId="TableText">
    <w:name w:val="Table Text"/>
    <w:pPr>
      <w:spacing w:before="0" w:after="40" w:line="259" w:lineRule="auto"/>
    </w:pPr>
    <w:rPr>
      <w:rFonts w:ascii="Calibri" w:hAnsi="Calibri" w:eastAsia="Calibri"/>
      <w:color w:val="1F252B"/>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democrats-financialservices.house.gov/uploadedfiles/6.22_hfsc_gs.report_hmsmeetbp.irm.nlrf.pdf" TargetMode="External"/><Relationship Id="rId14" Type="http://schemas.openxmlformats.org/officeDocument/2006/relationships/hyperlink" Target="https://www.sec.gov/Archives/edgar/data/1834518/000119312521109685/d121216ds4.htm" TargetMode="External"/><Relationship Id="rId15" Type="http://schemas.openxmlformats.org/officeDocument/2006/relationships/hyperlink" Target="https://www.sec.gov/Archives/edgar/data/1411579/000110465921076090/tm2118373-1_424b5.htm" TargetMode="External"/><Relationship Id="rId16" Type="http://schemas.openxmlformats.org/officeDocument/2006/relationships/hyperlink" Target="https://investor.amctheatres.com/news-events/press-releases/detail/102/amc-entertainment-holdings-inc-announces-shareholder-count" TargetMode="External"/><Relationship Id="rId17" Type="http://schemas.openxmlformats.org/officeDocument/2006/relationships/hyperlink" Target="https://www.sec.gov/data-research/sec-markets-data/fails-deliver-data" TargetMode="External"/><Relationship Id="rId18" Type="http://schemas.openxmlformats.org/officeDocument/2006/relationships/hyperlink" Target="https://www.nyse.com/regulation/regulation-sho" TargetMode="External"/><Relationship Id="rId19" Type="http://schemas.openxmlformats.org/officeDocument/2006/relationships/hyperlink" Target="https://www.investor.gov/introduction-investing/investing-basics/glossary/threshold-securities" TargetMode="External"/><Relationship Id="rId20" Type="http://schemas.openxmlformats.org/officeDocument/2006/relationships/hyperlink" Target="https://cdn.finra.org/equity/otcmarket/biweekly/shrt20210528.csv" TargetMode="External"/><Relationship Id="rId21" Type="http://schemas.openxmlformats.org/officeDocument/2006/relationships/hyperlink" Target="https://cdn.finra.org/equity/otcmarket/biweekly/shrt20210615.csv" TargetMode="External"/><Relationship Id="rId22" Type="http://schemas.openxmlformats.org/officeDocument/2006/relationships/hyperlink" Target="https://cdn.finra.org/equity/otcmarket/biweekly/shrt20210630.csv" TargetMode="External"/><Relationship Id="rId23" Type="http://schemas.openxmlformats.org/officeDocument/2006/relationships/hyperlink" Target="https://cdn.finra.org/equity/otcmarket/biweekly/shrt20210715.csv" TargetMode="External"/><Relationship Id="rId24" Type="http://schemas.openxmlformats.org/officeDocument/2006/relationships/hyperlink" Target="https://www.finra.org/finra-data/browse-catalog/short-sale-volume-data/daily-short-sale-volume-files" TargetMode="External"/><Relationship Id="rId25" Type="http://schemas.openxmlformats.org/officeDocument/2006/relationships/hyperlink" Target="https://www.sec.gov/Archives/edgar/data/1423053/000095012321002766/0000950123-21-002766-index.html" TargetMode="External"/><Relationship Id="rId26" Type="http://schemas.openxmlformats.org/officeDocument/2006/relationships/hyperlink" Target="https://www.sec.gov/Archives/edgar/data/1423053/000095012321007261/0000950123-21-007261-index.html" TargetMode="External"/><Relationship Id="rId27" Type="http://schemas.openxmlformats.org/officeDocument/2006/relationships/hyperlink" Target="https://www.sec.gov/Archives/edgar/data/1423053/000095012321011394/0000950123-21-011394-index.html" TargetMode="External"/><Relationship Id="rId28" Type="http://schemas.openxmlformats.org/officeDocument/2006/relationships/hyperlink" Target="https://www.sec.gov/rules-regulations/staff-guidance/division-investment-management-frequently-asked-questions/frequently-asked-questions-about-form-13f" TargetMode="External"/><Relationship Id="rId29" Type="http://schemas.openxmlformats.org/officeDocument/2006/relationships/hyperlink" Target="https://files.brokercheck.finra.org/firm/firm_116797.pdf" TargetMode="External"/><Relationship Id="rId30" Type="http://schemas.openxmlformats.org/officeDocument/2006/relationships/hyperlink" Target="https://www.sec.gov/files/litigation/admin/2023/34-98482.pdf" TargetMode="External"/><Relationship Id="rId31" Type="http://schemas.openxmlformats.org/officeDocument/2006/relationships/hyperlink" Target="https://www.sec.gov/Archives/edgar/data/1756111/000175611121000025/0001756111-21-000025-index.html" TargetMode="External"/><Relationship Id="rId32" Type="http://schemas.openxmlformats.org/officeDocument/2006/relationships/hyperlink" Target="https://www.investing.com/news/stock-market-news/amc-gamestop-shares-fall-to-half-of-their-june-peaks-2558274" TargetMode="External"/><Relationship Id="rId33" Type="http://schemas.openxmlformats.org/officeDocument/2006/relationships/hyperlink" Target="https://www.dtcc.com/news/2026/may/04/dtcc-advances-development-of-new-tokenization-service" TargetMode="External"/><Relationship Id="rId34" Type="http://schemas.openxmlformats.org/officeDocument/2006/relationships/hyperlink" Target="https://www.dtcc.com/news/2026/july/15/dtcc-turns-tokenization-into-reality" TargetMode="External"/><Relationship Id="rId35" Type="http://schemas.openxmlformats.org/officeDocument/2006/relationships/hyperlink" Target="https://www.bis.org/publ/bisbull90.htm" TargetMode="External"/><Relationship Id="rId36" Type="http://schemas.openxmlformats.org/officeDocument/2006/relationships/hyperlink" Target="https://www.congress.gov/event/117th-congress/house-event/LC67944/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AMC: Where Did June Go?</dc:title>
  <dc:subject>The $385 Million Apex Trade, Citadel’s Disclosed Exposure, and the 42-Day Vanishing Act</dc:subject>
  <dc:creator>Security James | The AMC Ape Cage</dc:creator>
  <cp:keywords>AMC, Ape Cage, Apex, Citadel, June 2021, fails to deliver, short interest, market structure</cp:keywords>
  <dc:description>Evidence report and show script prepared from primary regulatory, congressional, issuer, and market data.</dc:description>
  <cp:lastModifiedBy/>
  <cp:revision>1</cp:revision>
  <dcterms:created xsi:type="dcterms:W3CDTF">2013-12-23T23:15:00Z</dcterms:created>
  <dcterms:modified xsi:type="dcterms:W3CDTF">2013-12-23T23:15:00Z</dcterms:modified>
  <cp:category/>
</cp:coreProperties>
</file>