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suppressAutoHyphens w:val="1"/>
        <w:pBdr>
          <w:bottom w:val="single" w:sz="14" w:space="6" w:color="6B217E"/>
        </w:pBdr>
      </w:pPr>
      <w:r>
        <w:rPr>
          <w:rFonts w:ascii="Arial Black" w:hAnsi="Arial Black"/>
          <w:b/>
          <w:color w:val="441457"/>
          <w:sz w:val="40"/>
        </w:rPr>
        <w:t>AMC: Apparently, T Plus Zero Audited the Debt Vessel, Declared Victory and Forgot to Open the Damn Vault</w:t>
      </w:r>
    </w:p>
    <w:p>
      <w:pPr>
        <w:keepLines w:val="0"/>
        <w:widowControl/>
        <w:ind w:firstLine="317"/>
        <w:jc w:val="both"/>
        <w:suppressAutoHyphens w:val="1"/>
      </w:pPr>
      <w:r>
        <w:rPr>
          <w:rFonts w:ascii="Arial" w:hAnsi="Arial"/>
          <w:sz w:val="21"/>
        </w:rPr>
        <w:t>Tonight, I am not presenting another blockchain sales pitch assembled from the words transparency, innovation and trust, then wrapped in enough expensive vocabulary to make regular investors feel rude for asking what they actually own. I am putting Robinhood's own paperwork, the canonical AMC token contract, the price record, the market structure around that token and the missing audit bridge on the evidence desk. Apparently, Wall Street believes that once the receipt is placed on a public chain, the actual property behind the receipt becomes none of our business.</w:t>
      </w:r>
    </w:p>
    <w:p>
      <w:pPr>
        <w:keepLines w:val="0"/>
        <w:widowControl/>
        <w:ind w:firstLine="317"/>
        <w:jc w:val="both"/>
        <w:suppressAutoHyphens w:val="1"/>
      </w:pPr>
      <w:r>
        <w:rPr>
          <w:rFonts w:ascii="Arial" w:hAnsi="Arial"/>
          <w:sz w:val="21"/>
        </w:rPr>
        <w:t>The starting point is not a theory, an accusation or one of those internet treasure maps where every arrow somehow ends at the word crime. Robinhood describes its Stock Tokens as tokenized debt securities issued by Robinhood Assets Jersey Limited. The product provides economic exposure to an underlying security, but the investor does not receive legal or beneficial rights in AMC Entertainment or against AMC as the issuer of the common stock. [S1] That sentence does more work than the AMC logo ever will. In plain English, the AMC token is not an AMC share. It is a debt vessel whose payment value is tied to AMC. The customer receives the economic costume. Robinhood Assets Jersey carries the legal obligation.</w:t>
      </w:r>
    </w:p>
    <w:p>
      <w:pPr>
        <w:keepLines w:val="0"/>
        <w:widowControl/>
        <w:ind w:firstLine="317"/>
        <w:jc w:val="both"/>
        <w:suppressAutoHyphens w:val="1"/>
      </w:pPr>
      <w:r>
        <w:rPr>
          <w:rFonts w:ascii="Arial" w:hAnsi="Arial"/>
          <w:sz w:val="21"/>
        </w:rPr>
        <w:t>Robinhood also markets every circulating Stock Token as backed one for one by the corresponding underlying equity, held through a United States custody partner and monitored daily. [S2] Those two statements are not mutually exclusive. A debt security can be collateralized by stock. But they create two entirely different records, and this is where the sales pitch starts sweating. The public chain records the debt token. The broker, custodian and issuer records establish whether the promised stock was purchased, settled, allocated, segregated, lent, pledged, substituted or returned. The blockchain can count the claim without proving what happened to the property supporting the claim.</w:t>
      </w:r>
    </w:p>
    <w:p>
      <w:pPr>
        <w:keepLines w:val="0"/>
        <w:widowControl/>
        <w:ind w:firstLine="317"/>
        <w:jc w:val="both"/>
        <w:suppressAutoHyphens w:val="1"/>
      </w:pPr>
      <w:r>
        <w:rPr>
          <w:rFonts w:ascii="Arial" w:hAnsi="Arial"/>
          <w:sz w:val="21"/>
        </w:rPr>
        <w:t>That is the actual argument buried inside the conversation with Chaotic Good. I am not going to misquote Chaotic just to manufacture an easy win. I do not need to. She did not claim that blockchain prevents every fraud. She said a public ledger makes fraud harder and that continuous trading eliminates the traditional after hours divide. I narrowed the issue to the ability to audit, especially when settlement moves toward T plus zero. That is the strongest fair version of her position, and part of it is correct. A public ledger can make the token layer dramatically easier to inspect. What it cannot do by itself is drag the off chain collateral layer into the light and force it to confess.</w:t>
      </w:r>
    </w:p>
    <w:p>
      <w:pPr>
        <w:keepLines w:val="0"/>
        <w:widowControl/>
        <w:ind w:firstLine="317"/>
        <w:jc w:val="both"/>
        <w:suppressAutoHyphens w:val="1"/>
      </w:pPr>
      <w:r>
        <w:rPr>
          <w:rFonts w:ascii="Arial" w:hAnsi="Arial"/>
          <w:sz w:val="21"/>
        </w:rPr>
        <w:t>The AMC event turned that distinction into a live demonstration. During the overnight and weekend window ending August 31, 2026, AMC common stock remained near $2.59 while the canonical Robinhood AMC token reached a reported high of $166.86. At that peak, the token was approximately 64.4 times the common share reference, a premium of approximately 6,342 percent. Earlier in the event, the supplied alert recorded a token price of $11.51 against a $2.59 share, a premium of approximately 344 percent. The same canonical token also displayed materially different prices across decentralized pools. [S8] [S9] [S10] [S16]</w:t>
      </w:r>
    </w:p>
    <w:p>
      <w:pPr>
        <w:keepLines w:val="0"/>
        <w:widowControl/>
        <w:ind w:firstLine="317"/>
        <w:jc w:val="both"/>
        <w:suppressAutoHyphens w:val="1"/>
      </w:pPr>
      <w:r>
        <w:rPr>
          <w:rFonts w:ascii="Arial" w:hAnsi="Arial"/>
          <w:sz w:val="21"/>
        </w:rPr>
        <w:t>That price did not prove AMC was secretly worth $166.86. It did not prove counterfeit shares, missing collateral, naked short selling, rehypothecation or criminal manipulation. What it proved was narrower, cleaner and still devastating to the easy sales pitch. A transparent token ledger, continuous trading and a live reference feed did not keep the token aligned with the stock it was designed to track. The ledger recorded every footprint while price discovery drove the clown car straight into a ditch and then asked us to admire the precision of the tire marks.</w:t>
      </w:r>
    </w:p>
    <w:p>
      <w:pPr>
        <w:keepLines w:val="0"/>
        <w:widowControl/>
        <w:ind w:firstLine="317"/>
        <w:jc w:val="both"/>
        <w:suppressAutoHyphens w:val="1"/>
      </w:pPr>
      <w:r>
        <w:rPr>
          <w:rFonts w:ascii="Arial" w:hAnsi="Arial"/>
          <w:sz w:val="21"/>
        </w:rPr>
        <w:t>The investigation therefore asks one question from several directions. What exactly can the public ledger audit, and what evidence is still required before anybody can claim that the AMC collateral, settlement process or lending chain has been audited? The answer is not blockchain good or blockchain bad. That is kindergarten analysis for adults wearing expensive suits. The answer depends on which layer is visible, which legal right exists, which institution controls the records and whether the token supply can be reconciled to settled assets without a gap.</w:t>
      </w:r>
    </w:p>
    <w:p>
      <w:pPr>
        <w:pStyle w:val="ApeCagePunch"/>
        <w:suppressAutoHyphens w:val="1"/>
      </w:pPr>
      <w:r>
        <w:rPr>
          <w:rFonts w:ascii="Arial" w:hAnsi="Arial"/>
          <w:b/>
          <w:i/>
          <w:color w:val="2C2C2C"/>
          <w:sz w:val="21"/>
        </w:rPr>
        <w:t>We can see the vessel. We cannot yet audit the cargo. Before anybody takes a victory lap around the public ledger, we need to identify the legal instrument wearing AMC's face.</w:t>
      </w:r>
    </w:p>
    <w:p>
      <w:pPr>
        <w:pStyle w:val="Heading1"/>
        <w:suppressAutoHyphens w:val="1"/>
        <w:pBdr>
          <w:bottom w:val="single" w:sz="8" w:space="4" w:color="6B217E"/>
        </w:pBdr>
      </w:pPr>
      <w:r>
        <w:rPr>
          <w:rFonts w:ascii="Arial Black" w:hAnsi="Arial Black"/>
          <w:b/>
          <w:color w:val="441457"/>
          <w:sz w:val="28"/>
        </w:rPr>
        <w:t>Apparently, Robinhood Put an AMC Costume on a Debt Obligation and Expected Applause</w:t>
      </w:r>
    </w:p>
    <w:p>
      <w:pPr>
        <w:keepLines w:val="0"/>
        <w:widowControl/>
        <w:ind w:firstLine="317"/>
        <w:jc w:val="both"/>
        <w:suppressAutoHyphens w:val="1"/>
      </w:pPr>
      <w:r>
        <w:rPr>
          <w:rFonts w:ascii="Arial" w:hAnsi="Arial"/>
          <w:sz w:val="21"/>
        </w:rPr>
        <w:t>Robinhood's own chain documentation resolves the first legal question. The Stock Token is an ERC 20 debt security issued by Robinhood Assets Jersey Limited, known in the documents as RHJ. It is not issued by AMC Entertainment. It does not place the holder on AMC's shareholder register. It does not grant voting rights, direct dividend rights or a beneficial ownership interest in AMC shares. It gives the holder a claim defined by the RHJ prospectus and the applicable Final Terms. [S1] That is the instrument. Not a share. Not a vote. Not a place on AMC's books. Debt.</w:t>
      </w:r>
    </w:p>
    <w:p>
      <w:pPr>
        <w:keepLines w:val="0"/>
        <w:widowControl/>
        <w:ind w:firstLine="317"/>
        <w:jc w:val="both"/>
        <w:suppressAutoHyphens w:val="1"/>
      </w:pPr>
      <w:r>
        <w:rPr>
          <w:rFonts w:ascii="Arial" w:hAnsi="Arial"/>
          <w:sz w:val="21"/>
        </w:rPr>
        <w:t>That makes Matt Wertz's central point substantially correct as applied to this product. Traditional financial rights can be tokenized without turning the token holder into the owner of the referenced asset. Debt, notes, swap exposure, fund interests and other contractual claims can all wear a blockchain wrapper. The token tells us that a digital instrument exists. The governing documents tell us what legal obligation that instrument represents. If the paperwork says debt, the blockchain does not wave a magic wand, sprinkle technical glitter over the contract and convert the holder into an AMC shareholder.</w:t>
      </w:r>
    </w:p>
    <w:p>
      <w:pPr>
        <w:keepLines w:val="0"/>
        <w:widowControl/>
        <w:ind w:firstLine="317"/>
        <w:jc w:val="both"/>
        <w:suppressAutoHyphens w:val="1"/>
      </w:pPr>
      <w:r>
        <w:rPr>
          <w:rFonts w:ascii="Arial" w:hAnsi="Arial"/>
          <w:sz w:val="21"/>
        </w:rPr>
        <w:t>This is also why calling every tokenized stock a real world asset can become sloppy. The real world asset may sit behind the product as collateral, a hedge, a reference price or an asset held by a special purpose vehicle. The token holder's right may still be only a contractual claim against the issuer. The classification has to follow the legal documents, not the logo on the trading screen. AMC's ticker can appear on the token while AMC Entertainment remains completely outside the contract between RHJ and the token holder. The interface can dress like AMC all night. The contract still goes home as RHJ debt.</w:t>
      </w:r>
    </w:p>
    <w:p>
      <w:pPr>
        <w:keepLines w:val="0"/>
        <w:widowControl/>
        <w:ind w:firstLine="317"/>
        <w:jc w:val="both"/>
        <w:suppressAutoHyphens w:val="1"/>
      </w:pPr>
      <w:r>
        <w:rPr>
          <w:rFonts w:ascii="Arial" w:hAnsi="Arial"/>
          <w:sz w:val="21"/>
        </w:rPr>
        <w:t>Robinhood identifies the canonical AMC contract as 0x05a3d1Cd21d0C88145E82600E62e7E496e0F222B. [S5] That address matters because a matching ticker on another contract is not the Robinhood instrument. The canonical address lets investigators count transfers, inspect holders, identify mint and burn events, examine decentralized pools and compare the token's behavior across venues. That is a genuine audit advantage. It gives us a permanent public record of the vessel, and I am not going to pretend that advantage is meaningless simply because the rest of the structure is hidden.</w:t>
      </w:r>
    </w:p>
    <w:p>
      <w:pPr>
        <w:keepLines w:val="0"/>
        <w:widowControl/>
        <w:ind w:firstLine="317"/>
        <w:jc w:val="both"/>
        <w:suppressAutoHyphens w:val="1"/>
      </w:pPr>
      <w:r>
        <w:rPr>
          <w:rFonts w:ascii="Arial" w:hAnsi="Arial"/>
          <w:sz w:val="21"/>
        </w:rPr>
        <w:t>But counting vessels is not the same as inspecting cargo. The token contract does not display the RHJ liability ledger, the authorized participant subscription order, the broker execution that purchased AMC, the DTC settlement entry, the custodian statement, the lien status or the securities lending record. Those records exist in different systems controlled by different parties. The token contract can be perfectly accurate about the number of tokens while the public remains completely unable to prove the status of the assets behind them. A flawless receipt does not become warehouse inventory merely because it is permanent.</w:t>
      </w:r>
    </w:p>
    <w:p>
      <w:pPr>
        <w:keepLines w:val="0"/>
        <w:widowControl/>
        <w:ind w:firstLine="317"/>
        <w:jc w:val="both"/>
        <w:suppressAutoHyphens w:val="1"/>
      </w:pPr>
      <w:r>
        <w:rPr>
          <w:rFonts w:ascii="Arial" w:hAnsi="Arial"/>
          <w:sz w:val="21"/>
        </w:rPr>
        <w:t>This is the first major correction to the claim that public tokenization automatically audits rehypothecation. Rehypothecation concerns what an intermediary does with collateral after it receives the right to hold or use it. The relevant event is not the token moving from Wallet A to Wallet B. The relevant event is the supporting AMC share or replacement collateral being lent, pledged, commingled, substituted or passed to another borrower. Unless that collateral movement is itself placed on chain or supplied through a verifiable proof system, the public token ledger does not record it. The chain sees the claim move. It does not grow X ray vision and look through the custodian's books.</w:t>
      </w:r>
    </w:p>
    <w:p>
      <w:pPr>
        <w:keepLines w:val="0"/>
        <w:widowControl/>
        <w:ind w:firstLine="317"/>
        <w:jc w:val="both"/>
        <w:suppressAutoHyphens w:val="1"/>
      </w:pPr>
      <w:r>
        <w:rPr>
          <w:rFonts w:ascii="Arial" w:hAnsi="Arial"/>
          <w:sz w:val="21"/>
        </w:rPr>
        <w:t>The debt vessel description therefore does not weaken the investigation. It tells us where to aim it. A direct AMC share would send the audit toward the transfer agent, DTC, brokers and beneficial owner records. An RHJ debt token adds another layer between the investor and those systems. The audit must now reconcile the token holder's claim against the issuer, the issuer's outstanding liability, the collateral allocated to the AMC series, the settlement status of that collateral and any lending or substitution affecting it.</w:t>
      </w:r>
    </w:p>
    <w:p>
      <w:pPr>
        <w:pStyle w:val="ApeCagePunch"/>
        <w:suppressAutoHyphens w:val="1"/>
      </w:pPr>
      <w:r>
        <w:rPr>
          <w:rFonts w:ascii="Arial" w:hAnsi="Arial"/>
          <w:b/>
          <w:i/>
          <w:color w:val="2C2C2C"/>
          <w:sz w:val="21"/>
        </w:rPr>
        <w:t>The ticker says AMC. The legal instrument says RHJ debt. The audit must follow the legal instrument, because the contract is where the rights live after the interface finishes playing dress up. Once that costume is removed, Robinhood's next claim comes into focus. One token, one share. Clean sentence. Complicated proof.</w:t>
      </w:r>
    </w:p>
    <w:p>
      <w:pPr>
        <w:pStyle w:val="Heading1"/>
        <w:suppressAutoHyphens w:val="1"/>
        <w:pBdr>
          <w:bottom w:val="single" w:sz="8" w:space="4" w:color="6B217E"/>
        </w:pBdr>
      </w:pPr>
      <w:r>
        <w:rPr>
          <w:rFonts w:ascii="Arial Black" w:hAnsi="Arial Black"/>
          <w:b/>
          <w:color w:val="441457"/>
          <w:sz w:val="28"/>
        </w:rPr>
        <w:t>Apparently, One for One Became Proven the Moment Marketing Typed It</w:t>
      </w:r>
    </w:p>
    <w:p>
      <w:pPr>
        <w:keepLines w:val="0"/>
        <w:widowControl/>
        <w:ind w:firstLine="317"/>
        <w:jc w:val="both"/>
        <w:suppressAutoHyphens w:val="1"/>
      </w:pPr>
      <w:r>
        <w:rPr>
          <w:rFonts w:ascii="Arial" w:hAnsi="Arial"/>
          <w:sz w:val="21"/>
        </w:rPr>
        <w:t>Robinhood's public materials say that every circulating Stock Token is backed one for one by the corresponding underlying equity and that the underlying shares are held by a licensed custodian. [S2] That is a clear representation. It is also exactly the kind of representation that requires a bridge record. One token on the public ledger must be connected to one unit of the required underlying exposure in the private custody system, adjusted for any product multiplier and any permitted substitution described by the governing documents. Otherwise, one for one is not a reconciliation. It is a sentence in a brochure wearing an accountant's tie.</w:t>
      </w:r>
    </w:p>
    <w:p>
      <w:pPr>
        <w:keepLines w:val="0"/>
        <w:widowControl/>
        <w:ind w:firstLine="317"/>
        <w:jc w:val="both"/>
        <w:suppressAutoHyphens w:val="1"/>
      </w:pPr>
      <w:r>
        <w:rPr>
          <w:rFonts w:ascii="Arial" w:hAnsi="Arial"/>
          <w:sz w:val="21"/>
        </w:rPr>
        <w:t>The phrase one for one sounds simple because marketing departments are allergic to footnotes. The legal structure is not simple. The token is a debt obligation. The collateral may be held through custody accounts. Primary issuance is restricted. Corporate actions are handled through a multiplier. The Base Prospectus contains collateral rules and a conditional securities lending framework. A proper audit therefore has to identify what one means, what backing means, when the test is measured and what happens when the underlying is lent or temporarily replaced by other eligible collateral. Apparently, the word backed was expected to do all of that work by itself.</w:t>
      </w:r>
    </w:p>
    <w:p>
      <w:pPr>
        <w:keepLines w:val="0"/>
        <w:widowControl/>
        <w:ind w:firstLine="317"/>
        <w:jc w:val="both"/>
        <w:suppressAutoHyphens w:val="1"/>
      </w:pPr>
      <w:r>
        <w:rPr>
          <w:rFonts w:ascii="Arial" w:hAnsi="Arial"/>
          <w:sz w:val="21"/>
        </w:rPr>
        <w:t>Robinhood's documentation separates the primary market from the secondary market. Only authorized participants may subscribe directly with RHJ, and Robinhood's chain documentation identified BBVI as the authorized participant at issuance. Ordinary holders acquire or dispose of tokens through secondary venues. [S1] [S3] This creates a gate around the mechanism that should restore price alignment. When the token trades above AMC, a capable authorized participant can theoretically subscribe for new tokens, provide the required funding and allow more supply to reach the market. Ordinary traders cannot force RHJ to create supply merely because a decentralized pool has lost its mind and wandered into traffic.</w:t>
      </w:r>
    </w:p>
    <w:p>
      <w:pPr>
        <w:keepLines w:val="0"/>
        <w:widowControl/>
        <w:ind w:firstLine="317"/>
        <w:jc w:val="both"/>
        <w:suppressAutoHyphens w:val="1"/>
      </w:pPr>
      <w:r>
        <w:rPr>
          <w:rFonts w:ascii="Arial" w:hAnsi="Arial"/>
          <w:sz w:val="21"/>
        </w:rPr>
        <w:t>That gate matters to the August 30 event. The early alert reported approximately 17,167 circulating tokens and an underlying reference value of only about $44,500 at $2.59 per share. Later CoinGecko pages showed approximately 87,000 circulating tokens, while an independent chain explorer displayed approximately 129,177 total tokens at the latest check. [S8] [S17] Circulating supply and total supply are different measures, so those later figures are not automatically contradictory. The change is nevertheless consistent with substantial additional supply entering the system after the dislocation.</w:t>
      </w:r>
    </w:p>
    <w:p>
      <w:pPr>
        <w:keepLines w:val="0"/>
        <w:widowControl/>
        <w:ind w:firstLine="317"/>
        <w:jc w:val="both"/>
        <w:suppressAutoHyphens w:val="1"/>
      </w:pPr>
      <w:r>
        <w:rPr>
          <w:rFonts w:ascii="Arial" w:hAnsi="Arial"/>
          <w:sz w:val="21"/>
        </w:rPr>
        <w:t>Consistent with does not mean proven by, and I am not going to lower the evidentiary standard just because the inference is convenient. The public tracker does not identify which authorized participant submitted a subscription, when RHJ accepted it, how it was funded, which broker bought the AMC shares, whether the trade settled or when the custodian allocated the shares to the AMC product series. The chain can show that tokens were minted. It does not automatically show the complete creation file behind the mint. That missing file is not a minor clerical detail. It is the bridge between the public claim and the private asset.</w:t>
      </w:r>
    </w:p>
    <w:p>
      <w:pPr>
        <w:keepLines w:val="0"/>
        <w:widowControl/>
        <w:ind w:firstLine="317"/>
        <w:jc w:val="both"/>
        <w:suppressAutoHyphens w:val="1"/>
      </w:pPr>
      <w:r>
        <w:rPr>
          <w:rFonts w:ascii="Arial" w:hAnsi="Arial"/>
          <w:sz w:val="21"/>
        </w:rPr>
        <w:t>Robinhood also publishes a read only price interface that distinguishes the raw underlying equity bid and ask from the multiplier adjusted on chain Chainlink value. [S4] That is useful because it defines the intended reference. It is not proof that a decentralized pool will trade at that reference. An oracle reports information. It does not provide unlimited capital, force market makers to quote, guarantee redemptions or compel arbitrageurs to enter a broken pool. The oracle can point at the road. It cannot grab the token by the collar and make it stay in the lane.</w:t>
      </w:r>
    </w:p>
    <w:p>
      <w:pPr>
        <w:keepLines w:val="0"/>
        <w:widowControl/>
        <w:ind w:firstLine="317"/>
        <w:jc w:val="both"/>
        <w:suppressAutoHyphens w:val="1"/>
      </w:pPr>
      <w:r>
        <w:rPr>
          <w:rFonts w:ascii="Arial" w:hAnsi="Arial"/>
          <w:sz w:val="21"/>
        </w:rPr>
        <w:t>The correct audit question is therefore not whether Robinhood used the words one for one. The correct question is whether the token supply, liability ledger, settled custody position and any permitted securities lending collateral can be reconciled for the AMC series at each material timestamp. A public sentence is a claim. A reconciliation is evidence. One for one is not an audit conclusion until somebody places both ones on the same reconciliation and lets the public inspect the bridge between them.</w:t>
      </w:r>
    </w:p>
    <w:p>
      <w:pPr>
        <w:keepLines w:val="0"/>
        <w:widowControl/>
        <w:ind w:firstLine="317"/>
        <w:jc w:val="both"/>
        <w:suppressAutoHyphens w:val="1"/>
      </w:pPr>
      <w:r>
        <w:rPr>
          <w:rFonts w:ascii="Arial" w:hAnsi="Arial"/>
          <w:sz w:val="21"/>
        </w:rPr>
        <w:t>That brings us to the next miracle phrase. T plus zero. The stopwatch got faster, the wrapper moved instantly and apparently the vault was supposed to become transparent through enthusiasm alone.</w:t>
      </w:r>
    </w:p>
    <w:p>
      <w:pPr>
        <w:pStyle w:val="Heading1"/>
        <w:suppressAutoHyphens w:val="1"/>
        <w:pBdr>
          <w:bottom w:val="single" w:sz="8" w:space="4" w:color="6B217E"/>
        </w:pBdr>
      </w:pPr>
      <w:r>
        <w:rPr>
          <w:rFonts w:ascii="Arial Black" w:hAnsi="Arial Black"/>
          <w:b/>
          <w:color w:val="441457"/>
          <w:sz w:val="28"/>
        </w:rPr>
        <w:t>Apparently, T Plus Zero Audited the Stopwatch and Called the Rest None of Our Business</w:t>
      </w:r>
    </w:p>
    <w:p>
      <w:pPr>
        <w:keepLines w:val="0"/>
        <w:widowControl/>
        <w:ind w:firstLine="317"/>
        <w:jc w:val="both"/>
        <w:suppressAutoHyphens w:val="1"/>
      </w:pPr>
      <w:r>
        <w:rPr>
          <w:rFonts w:ascii="Arial" w:hAnsi="Arial"/>
          <w:sz w:val="21"/>
        </w:rPr>
        <w:t>The supplied conversation does not contain the phrase T plus zero, and I am not putting those words in Chaotic's mouth just to make my response easier. Her actual position is that public ledgers and continuous trading improve transparency and make some forms of manipulation harder. I clarified that the real issue is the ability to audit when settlement becomes immediate or same day. This report tests that fair version because I do not need to invent a weaker argument. The real one already exposes the exact boundary between visible movement and hidden backing.</w:t>
      </w:r>
    </w:p>
    <w:p>
      <w:pPr>
        <w:keepLines w:val="0"/>
        <w:widowControl/>
        <w:ind w:firstLine="317"/>
        <w:jc w:val="both"/>
        <w:suppressAutoHyphens w:val="1"/>
      </w:pPr>
      <w:r>
        <w:rPr>
          <w:rFonts w:ascii="Arial" w:hAnsi="Arial"/>
          <w:sz w:val="21"/>
        </w:rPr>
        <w:t>T plus zero means settlement on the trade date. A blockchain transfer can achieve finality within seconds or minutes depending on network design. That reduces the period during which one party has delivered value while another still owes performance. It can reduce counterparty exposure, compress the event sequence and produce precise timestamps. Those are meaningful operational improvements. [S12] Faster settlement is real progress. It simply is not the same thing as a complete audit, no matter how aggressively the brochure tries to merge those two ideas.</w:t>
      </w:r>
    </w:p>
    <w:p>
      <w:pPr>
        <w:keepLines w:val="0"/>
        <w:widowControl/>
        <w:ind w:firstLine="317"/>
        <w:jc w:val="both"/>
        <w:suppressAutoHyphens w:val="1"/>
      </w:pPr>
      <w:r>
        <w:rPr>
          <w:rFonts w:ascii="Arial" w:hAnsi="Arial"/>
          <w:sz w:val="21"/>
        </w:rPr>
        <w:t>Settlement speed answers when a recorded asset moved. It does not automatically answer what legal asset moved, who controls the wallet, what off chain obligation supports it or whether a separate asset needed for collateral settled somewhere else. A token can move immediately between wallets while the broker purchase supporting the token remains subject to the traditional securities settlement process. The wrapper can settle before the public can verify the cargo. Apparently, the receipt crossed the finish line, so everybody was supposed to forget that the shares were still running a different race behind a locked gate.</w:t>
      </w:r>
    </w:p>
    <w:p>
      <w:pPr>
        <w:keepLines w:val="0"/>
        <w:widowControl/>
        <w:ind w:firstLine="317"/>
        <w:jc w:val="both"/>
        <w:suppressAutoHyphens w:val="1"/>
      </w:pPr>
      <w:r>
        <w:rPr>
          <w:rFonts w:ascii="Arial" w:hAnsi="Arial"/>
          <w:sz w:val="21"/>
        </w:rPr>
        <w:t>For the AMC token, at least two settlement processes must be separated. Secondary token settlement occurs when the token moves between wallets or liquidity pools. Primary creation requires an authorized participant, an RHJ subscription process, funding, broker activity, collateral acquisition and custody allocation. The first process can be public and nearly immediate. The second can remain institutionally controlled and partly private. Calling both of them T plus zero without identifying the asset and the system turns a useful concept into financial alphabet soup served with a side of misplaced confidence.</w:t>
      </w:r>
    </w:p>
    <w:p>
      <w:pPr>
        <w:keepLines w:val="0"/>
        <w:widowControl/>
        <w:ind w:firstLine="317"/>
        <w:jc w:val="both"/>
        <w:suppressAutoHyphens w:val="1"/>
      </w:pPr>
      <w:r>
        <w:rPr>
          <w:rFonts w:ascii="Arial" w:hAnsi="Arial"/>
          <w:sz w:val="21"/>
        </w:rPr>
        <w:t>T plus zero can show the precise time the token moved, the amount transferred, the sending wallet, the receiving wallet and the resulting token supply after a mint or burn. It cannot by itself show the beneficial owner behind the wallet, the AMC purchase used to support creation, the DTC settlement of that purchase, the custodian's allocated AMC balance, the lien status of the collateral or a securities loan made outside the token contract. It gives us a better clock. It does not give us the private books.</w:t>
      </w:r>
    </w:p>
    <w:p>
      <w:pPr>
        <w:keepLines w:val="0"/>
        <w:widowControl/>
        <w:ind w:firstLine="317"/>
        <w:jc w:val="both"/>
        <w:suppressAutoHyphens w:val="1"/>
      </w:pPr>
      <w:r>
        <w:rPr>
          <w:rFonts w:ascii="Arial" w:hAnsi="Arial"/>
          <w:sz w:val="21"/>
        </w:rPr>
        <w:t>The SEC's settlement work has repeatedly recognized that shorter cycles reduce risk but also collide with netting, allocations, foreign exchange, operational error handling and securities lending. [S12] The point is not that T plus zero is bad. The point is that settlement design involves more than making one digital transfer fast. If the market keeps the collateral, custody and lending records in separate systems, faster token finality does not merge those systems into a complete audit trail. Speed can reduce one category of risk while leaving another category behind an institutional curtain.</w:t>
      </w:r>
    </w:p>
    <w:p>
      <w:pPr>
        <w:keepLines w:val="0"/>
        <w:widowControl/>
        <w:ind w:firstLine="317"/>
        <w:jc w:val="both"/>
        <w:suppressAutoHyphens w:val="1"/>
      </w:pPr>
      <w:r>
        <w:rPr>
          <w:rFonts w:ascii="Arial" w:hAnsi="Arial"/>
          <w:sz w:val="21"/>
        </w:rPr>
        <w:t>Chaotic is therefore correct about audit potential. The public ledger gives investigators evidence they often have to fight to obtain in traditional systems, including supply history, wallet movement, pool reserves, transaction sequence and mint activity. Her position becomes overstated only when that visibility is treated as proof of collateral integrity or proof that manipulation cannot occur in continuous markets. That is the line. I am not erasing the value of the ledger. I am refusing to let the ledger take credit for records it does not contain.</w:t>
      </w:r>
    </w:p>
    <w:p>
      <w:pPr>
        <w:keepLines w:val="0"/>
        <w:widowControl/>
        <w:ind w:firstLine="317"/>
        <w:jc w:val="both"/>
        <w:suppressAutoHyphens w:val="1"/>
      </w:pPr>
      <w:r>
        <w:rPr>
          <w:rFonts w:ascii="Arial" w:hAnsi="Arial"/>
          <w:sz w:val="21"/>
        </w:rPr>
        <w:t>The August event supplied the answer in the least polite way possible. The token traded continuously. The chain kept recording. The oracle existed. The price still detached by thousands of percent. Apparently, broken price discovery did not read the brochure explaining that the after hours divide had been eliminated. The public ledger did its job and permanently recorded the fact that the market around it had lost its damn mind.</w:t>
      </w:r>
    </w:p>
    <w:p>
      <w:pPr>
        <w:pStyle w:val="ApeCagePunch"/>
        <w:suppressAutoHyphens w:val="1"/>
      </w:pPr>
      <w:r>
        <w:rPr>
          <w:rFonts w:ascii="Arial" w:hAnsi="Arial"/>
          <w:b/>
          <w:i/>
          <w:color w:val="2C2C2C"/>
          <w:sz w:val="21"/>
        </w:rPr>
        <w:t>T plus zero improved the stopwatch. It did not open the vault. Then the supposedly transparent market produced a 166 dollar print and left the public ledger to document the embarrassment.</w:t>
      </w:r>
    </w:p>
    <w:p>
      <w:pPr>
        <w:pStyle w:val="Heading1"/>
        <w:suppressAutoHyphens w:val="1"/>
        <w:pBdr>
          <w:bottom w:val="single" w:sz="8" w:space="4" w:color="6B217E"/>
        </w:pBdr>
      </w:pPr>
      <w:r>
        <w:rPr>
          <w:rFonts w:ascii="Arial Black" w:hAnsi="Arial Black"/>
          <w:b/>
          <w:color w:val="441457"/>
          <w:sz w:val="28"/>
        </w:rPr>
        <w:t>Apparently, the Public Ledger Recorded a 166 Dollar Clown Show and Still Could Not Explain It</w:t>
      </w:r>
    </w:p>
    <w:p>
      <w:pPr>
        <w:keepLines w:val="0"/>
        <w:widowControl/>
        <w:ind w:firstLine="317"/>
        <w:jc w:val="both"/>
        <w:suppressAutoHyphens w:val="1"/>
      </w:pPr>
      <w:r>
        <w:rPr>
          <w:rFonts w:ascii="Arial" w:hAnsi="Arial"/>
          <w:sz w:val="21"/>
        </w:rPr>
        <w:t>The canonical contract matters because the August event was not merely a similarly named counterfeit token. Robinhood's contract registry identifies 0x05a3d1Cd21d0C88145E82600E62e7E496e0F222B as the canonical AMC Stock Token. [S5] CoinGecko's AMC page tracked that same product and reported an all time high of $166.86 on August 30, 2026. [S8] AMC common stock remained around $2.59 to $2.60 during the relevant reference window. [S10] The product wearing AMC's name separated from AMC by a distance large enough to require binoculars.</w:t>
      </w:r>
    </w:p>
    <w:p>
      <w:pPr>
        <w:keepLines w:val="0"/>
        <w:widowControl/>
        <w:ind w:firstLine="317"/>
        <w:jc w:val="both"/>
        <w:suppressAutoHyphens w:val="1"/>
      </w:pPr>
      <w:r>
        <w:rPr>
          <w:rFonts w:ascii="Arial" w:hAnsi="Arial"/>
          <w:sz w:val="21"/>
        </w:rPr>
        <w:t>At $166.86, the token was approximately $164.27 above a $2.59 common share reference. Expressed as a premium, that is approximately 6,342 percent. Expressed as a multiple, it is approximately 64.4 times the share price. Neither calculation turns the token print into AMC's fair value. It measures the failure of the token market to stay connected to the reference it was designed to follow. The token did not discover AMC's secret price. It discovered what shallow liquidity can do when price controls, creation access and actual depth fail to keep the product attached to reality.</w:t>
      </w:r>
    </w:p>
    <w:p>
      <w:pPr>
        <w:keepLines w:val="0"/>
        <w:widowControl/>
        <w:ind w:firstLine="317"/>
        <w:jc w:val="both"/>
        <w:suppressAutoHyphens w:val="1"/>
      </w:pPr>
      <w:r>
        <w:rPr>
          <w:rFonts w:ascii="Arial" w:hAnsi="Arial"/>
          <w:sz w:val="21"/>
        </w:rPr>
        <w:t>The contemporaneous alert supplied for this report captured an intermediate token price of $11.51 at approximately 3:25 AM Central on August 31. Against $2.59 for AMC common stock, that represented a premium of approximately 344 percent. The same alert recorded active pool prices near $10.25 to $10.74, with other displayed markets substantially higher. [S16] That disagreement matters because one canonical token cannot possess several fundamental values at the same moment. The pools were reporting local prices created by their own reserves and order flow. The token had one contract and several markets arguing over which version of nonsense deserved two decimal places.</w:t>
      </w:r>
    </w:p>
    <w:p>
      <w:pPr>
        <w:keepLines w:val="0"/>
        <w:widowControl/>
        <w:ind w:firstLine="317"/>
        <w:jc w:val="both"/>
        <w:suppressAutoHyphens w:val="1"/>
      </w:pPr>
      <w:r>
        <w:rPr>
          <w:rFonts w:ascii="Arial" w:hAnsi="Arial"/>
          <w:sz w:val="21"/>
        </w:rPr>
        <w:t>The early alert also reported only about $4,184 of liquidity within two percent of the displayed price for the largest AMC and WETH market while showing approximately $1.33 million of twenty four hour volume. [S16] The later CoinGecko page continued to show roughly $1,100 of two percent depth on leading pairs while reported daily volume remained around $1.8 million. [S8] Those are warnings about execution quality. A large volume number does not mean a large amount can be bought or sold near the quoted price. It can mean the same shallow water was splashed around repeatedly while the scoreboard pretended an ocean had formed.</w:t>
      </w:r>
    </w:p>
    <w:p>
      <w:pPr>
        <w:keepLines w:val="0"/>
        <w:widowControl/>
        <w:ind w:firstLine="317"/>
        <w:jc w:val="both"/>
        <w:suppressAutoHyphens w:val="1"/>
      </w:pPr>
      <w:r>
        <w:rPr>
          <w:rFonts w:ascii="Arial" w:hAnsi="Arial"/>
          <w:sz w:val="21"/>
        </w:rPr>
        <w:t>Automated market makers calculate price from pool reserves. If the pool is shallow, a relatively small trade can move the displayed price dramatically. If the quote token is itself thin, mispriced or routed through another unstable pool, the resulting dollar value may become circular. A data aggregator can then calculate a volume weighted average across several broken markets and produce a precise number that looks authoritative because it has two decimal places. Precision is not reliability when the inputs are arguing with one another and the liquidity would fit inside a reasonably determined checking account.</w:t>
      </w:r>
    </w:p>
    <w:p>
      <w:pPr>
        <w:keepLines w:val="0"/>
        <w:widowControl/>
        <w:ind w:firstLine="317"/>
        <w:jc w:val="both"/>
        <w:suppressAutoHyphens w:val="1"/>
      </w:pPr>
      <w:r>
        <w:rPr>
          <w:rFonts w:ascii="Arial" w:hAnsi="Arial"/>
          <w:sz w:val="21"/>
        </w:rPr>
        <w:t>CoinGecko later displayed the token near $2.62 with about 87,000 circulating tokens and a market value around $229,000. Its current leading pools also converged much closer to AMC common stock. [S8] The return toward the reference is consistent with arbitrage, increased supply and restored liquidity. It does not prove which mechanism dominated or whether every token was supported at the moment of issuance. It tells us the market eventually found its way back toward AMC after spending part of the weekend auditioning for a financial hallucination.</w:t>
      </w:r>
    </w:p>
    <w:p>
      <w:pPr>
        <w:keepLines w:val="0"/>
        <w:widowControl/>
        <w:ind w:firstLine="317"/>
        <w:jc w:val="both"/>
        <w:suppressAutoHyphens w:val="1"/>
      </w:pPr>
      <w:r>
        <w:rPr>
          <w:rFonts w:ascii="Arial" w:hAnsi="Arial"/>
          <w:sz w:val="21"/>
        </w:rPr>
        <w:t>The price collapse back toward AMC is therefore not evidence that nothing happened. It is evidence that the earlier market could move far away from the reference and later return when supply or trading conditions changed. That is the event investigators must reconstruct through token supply snapshots, mint transactions, authorized participant activity, pool reserve changes, oracle values and the exact time each market converged. The return to normal does not erase the dislocation. A clown car is still a clown car after somebody tows it out of the ditch.</w:t>
      </w:r>
    </w:p>
    <w:p>
      <w:pPr>
        <w:keepLines w:val="0"/>
        <w:widowControl/>
        <w:ind w:firstLine="317"/>
        <w:jc w:val="both"/>
        <w:suppressAutoHyphens w:val="1"/>
      </w:pPr>
      <w:r>
        <w:rPr>
          <w:rFonts w:ascii="Arial" w:hAnsi="Arial"/>
          <w:sz w:val="21"/>
        </w:rPr>
        <w:t>A circular quote warning must remain attached to every extreme print. A pool price is not automatically a cash executable valuation for the full supply. The $166.86 high proves that at least one tracked market produced that price. It does not prove that 17,167 tokens could all have been sold at $166.86, that AMC shares traded there or that the issuer owed redemption at that pool print. The distinction matters because I am interested in proving what happened, not inflating the event until the real evidence disappears under our own excitement.</w:t>
      </w:r>
    </w:p>
    <w:p>
      <w:pPr>
        <w:pStyle w:val="ApeCagePunch"/>
        <w:suppressAutoHyphens w:val="1"/>
      </w:pPr>
      <w:r>
        <w:rPr>
          <w:rFonts w:ascii="Arial" w:hAnsi="Arial"/>
          <w:b/>
          <w:i/>
          <w:color w:val="2C2C2C"/>
          <w:sz w:val="21"/>
        </w:rPr>
        <w:t>The token price was real as a market print. It was not proof of AMC's hidden price. It was proof that the token market broke alignment while every supposedly modern transparency tool stood nearby recording the wreck in high definition. Once we accept that a public chain can perfectly record a broken market, the next question is whether it can prove the supporting collateral remained complete and untouched. It cannot, unless somebody connects the private records.</w:t>
      </w:r>
    </w:p>
    <w:p>
      <w:pPr>
        <w:pStyle w:val="Heading1"/>
        <w:suppressAutoHyphens w:val="1"/>
        <w:pBdr>
          <w:bottom w:val="single" w:sz="8" w:space="4" w:color="6B217E"/>
        </w:pBdr>
      </w:pPr>
      <w:r>
        <w:rPr>
          <w:rFonts w:ascii="Arial Black" w:hAnsi="Arial Black"/>
          <w:b/>
          <w:color w:val="441457"/>
          <w:sz w:val="28"/>
        </w:rPr>
        <w:t>Apparently, Rehypothecation Stayed Behind the Locked Door While the Token Took a Victory Lap</w:t>
      </w:r>
    </w:p>
    <w:p>
      <w:pPr>
        <w:keepLines w:val="0"/>
        <w:widowControl/>
        <w:ind w:firstLine="317"/>
        <w:jc w:val="both"/>
        <w:suppressAutoHyphens w:val="1"/>
      </w:pPr>
      <w:r>
        <w:rPr>
          <w:rFonts w:ascii="Arial" w:hAnsi="Arial"/>
          <w:sz w:val="21"/>
        </w:rPr>
        <w:t>Rehypothecation is not a mysterious word for any asset moving twice. It is the reuse or repledging of collateral by an intermediary. In this investigation, the relevant collateral could include AMC shares or eligible replacement assets supporting RHJ's debt obligation. The audit question is whether that collateral was held, lent, pledged, commingled, substituted or onward lent, and whether the issuer remained fully collateralized throughout the process. That question cannot be answered by staring harder at the token transfer history and hoping the custody records appear through spiritual commitment.</w:t>
      </w:r>
    </w:p>
    <w:p>
      <w:pPr>
        <w:keepLines w:val="0"/>
        <w:widowControl/>
        <w:ind w:firstLine="317"/>
        <w:jc w:val="both"/>
        <w:suppressAutoHyphens w:val="1"/>
      </w:pPr>
      <w:r>
        <w:rPr>
          <w:rFonts w:ascii="Arial" w:hAnsi="Arial"/>
          <w:sz w:val="21"/>
        </w:rPr>
        <w:t>Robinhood's Base Prospectus creates a conditional framework for securities lending. It says the issuer may appoint a Prime Borrower when lending of the underlying is specified as applicable in the relevant Final Terms. If a lending arrangement exists, the Prime Borrower may onward lend the underlying to End Borrowers. The structure can rely on replacement collateral, daily marking and contractual records maintained outside the public token ledger. [S6] In other words, the legal architecture recognizes that the asset behind the token can enter a separate lending chain that the token holder cannot audit merely by opening a block explorer.</w:t>
      </w:r>
    </w:p>
    <w:p>
      <w:pPr>
        <w:keepLines w:val="0"/>
        <w:widowControl/>
        <w:ind w:firstLine="317"/>
        <w:jc w:val="both"/>
        <w:suppressAutoHyphens w:val="1"/>
      </w:pPr>
      <w:r>
        <w:rPr>
          <w:rFonts w:ascii="Arial" w:hAnsi="Arial"/>
          <w:sz w:val="21"/>
        </w:rPr>
        <w:t>The same Base Prospectus states that, as of its date, RHJ had not appointed a Prime Borrower and had not entered into a securities lending agreement for the programme. It reserved the ability to establish such an arrangement later, subject to the governing terms. [S6] This distinction must be preserved. The prospectus proves that the legal architecture can accommodate lending when the applicable Final Terms allow it. It does not prove that AMC collateral was actually lent. I am not replacing a missing record with a conclusion just because the conclusion would make a louder show.</w:t>
      </w:r>
    </w:p>
    <w:p>
      <w:pPr>
        <w:keepLines w:val="0"/>
        <w:widowControl/>
        <w:ind w:firstLine="317"/>
        <w:jc w:val="both"/>
        <w:suppressAutoHyphens w:val="1"/>
      </w:pPr>
      <w:r>
        <w:rPr>
          <w:rFonts w:ascii="Arial" w:hAnsi="Arial"/>
          <w:sz w:val="21"/>
        </w:rPr>
        <w:t>The RHJ disclosure library lists Final Terms for the AMC product dated August 12, 2026. [S7] The exact AMC lending election remains the decisive product level record. Until that document is obtained and the lending field is verified, the evidence cannot establish whether lending of the AMC underlying was applicable. Even if it was applicable, permission to lend would still not prove that a loan occurred. The loan file, custodian record and collateral movement would be required. Authorization is not activity. A door in the prospectus is not proof that AMC walked through it.</w:t>
      </w:r>
    </w:p>
    <w:p>
      <w:pPr>
        <w:keepLines w:val="0"/>
        <w:widowControl/>
        <w:ind w:firstLine="317"/>
        <w:jc w:val="both"/>
        <w:suppressAutoHyphens w:val="1"/>
      </w:pPr>
      <w:r>
        <w:rPr>
          <w:rFonts w:ascii="Arial" w:hAnsi="Arial"/>
          <w:sz w:val="21"/>
        </w:rPr>
        <w:t>This is where Chaotic's auditability claim encounters the missing bridge. The public chain can identify every AMC token transfer. It cannot identify a Prime Borrower unless that identity is disclosed and linked to a wallet. It cannot show an End Borrower if the onward loan remains in private books. It cannot prove the quantity of lent AMC shares, the type and value of replacement collateral, the daily margin calculation or whether the same collateral supports another obligation. The chain can count the passengers boarding the vessel. It cannot tell us whether the cargo was unloaded, pledged or sent somewhere else after the doors closed.</w:t>
      </w:r>
    </w:p>
    <w:p>
      <w:pPr>
        <w:keepLines w:val="0"/>
        <w:widowControl/>
        <w:ind w:firstLine="317"/>
        <w:jc w:val="both"/>
        <w:suppressAutoHyphens w:val="1"/>
      </w:pPr>
      <w:r>
        <w:rPr>
          <w:rFonts w:ascii="Arial" w:hAnsi="Arial"/>
          <w:sz w:val="21"/>
        </w:rPr>
        <w:t>Chainlink describes Proof of Reserve as a way to connect on chain liabilities with off chain or cross chain reserves and to detect fractional reserve conditions or hidden rehypothecation. [S13] That technology illustrates what a complete bridge could look like. It requires an independent data source, cryptographic attestation or custodian reporting that can be reconciled to token supply. A price feed is not the same thing. A Chainlink price feed tells the contract what AMC is worth. It does not prove how many AMC shares sit in custody. Apparently, knowing the price of a chair is now supposed to prove the chair is in the warehouse.</w:t>
      </w:r>
    </w:p>
    <w:p>
      <w:pPr>
        <w:keepLines w:val="0"/>
        <w:widowControl/>
        <w:ind w:firstLine="317"/>
        <w:jc w:val="both"/>
        <w:suppressAutoHyphens w:val="1"/>
      </w:pPr>
      <w:r>
        <w:rPr>
          <w:rFonts w:ascii="Arial" w:hAnsi="Arial"/>
          <w:sz w:val="21"/>
        </w:rPr>
        <w:t>A credible rehypothecation audit would require the outstanding token supply at each timestamp, the issuer liability for that supply, the settled AMC quantity allocated to the series, all liens and account control agreements, every securities loan, every collateral substitution, every borrower and the return status of each loan. Anything less can inspect fragments of the structure but cannot establish that the backing remained complete and unencumbered. That is not hostility toward technology. That is what the word audit means when marketing is not allowed to rewrite the dictionary.</w:t>
      </w:r>
    </w:p>
    <w:p>
      <w:pPr>
        <w:keepLines w:val="0"/>
        <w:widowControl/>
        <w:ind w:firstLine="317"/>
        <w:jc w:val="both"/>
        <w:suppressAutoHyphens w:val="1"/>
      </w:pPr>
      <w:r>
        <w:rPr>
          <w:rFonts w:ascii="Arial" w:hAnsi="Arial"/>
          <w:sz w:val="21"/>
        </w:rPr>
        <w:t>That does not mean Robinhood lacked the assets. It means the public chain does not prove that Robinhood had them. The burden should not be reversed. Investigators do not have to prove a shortage before asking for the record that Robinhood's own one for one statement says should exist. An institution cannot advertise backing, keep the backing records private and then act as though the public's inability to prove a deficiency is itself proof of completeness. That is not transparency. That is evidence being held hostage by the party making the claim.</w:t>
      </w:r>
    </w:p>
    <w:p>
      <w:pPr>
        <w:pStyle w:val="ApeCagePunch"/>
        <w:suppressAutoHyphens w:val="1"/>
      </w:pPr>
      <w:r>
        <w:rPr>
          <w:rFonts w:ascii="Arial" w:hAnsi="Arial"/>
          <w:b/>
          <w:i/>
          <w:color w:val="2C2C2C"/>
          <w:sz w:val="21"/>
        </w:rPr>
        <w:t>The prospectus shows that a lending door can exist. It does not show whether AMC walked through it. That missing bridge is not new, either. We found the same category of locked door when tracing the FTX and CM Equity channels. The legal structure changed. The audit problem survived.</w:t>
      </w:r>
    </w:p>
    <w:p>
      <w:pPr>
        <w:pStyle w:val="Heading1"/>
        <w:suppressAutoHyphens w:val="1"/>
        <w:pBdr>
          <w:bottom w:val="single" w:sz="8" w:space="4" w:color="6B217E"/>
        </w:pBdr>
      </w:pPr>
      <w:r>
        <w:rPr>
          <w:rFonts w:ascii="Arial Black" w:hAnsi="Arial Black"/>
          <w:b/>
          <w:color w:val="441457"/>
          <w:sz w:val="28"/>
        </w:rPr>
        <w:t>Apparently, FTX Left the Same Missing Bridge and Robinhood Added Better Lighting</w:t>
      </w:r>
    </w:p>
    <w:p>
      <w:pPr>
        <w:keepLines w:val="0"/>
        <w:widowControl/>
        <w:ind w:firstLine="317"/>
        <w:jc w:val="both"/>
        <w:suppressAutoHyphens w:val="1"/>
      </w:pPr>
      <w:r>
        <w:rPr>
          <w:rFonts w:ascii="Arial" w:hAnsi="Arial"/>
          <w:sz w:val="21"/>
        </w:rPr>
        <w:t>Here is where the smell becomes familiar, and I am choosing those words carefully. Robinhood is not FTX, and this report does not claim that it is. The legal entities, product documents and proven outcomes are different. The custody question is still the same category of problem. A customer can see a token or token like product on a digital platform while the hedge, collateral, broker execution and settlement activity supporting that exposure occur somewhere else. The interface is visible. The transaction level bridge is not.</w:t>
      </w:r>
    </w:p>
    <w:p>
      <w:pPr>
        <w:keepLines w:val="0"/>
        <w:widowControl/>
        <w:ind w:firstLine="317"/>
        <w:jc w:val="both"/>
        <w:suppressAutoHyphens w:val="1"/>
      </w:pPr>
      <w:r>
        <w:rPr>
          <w:rFonts w:ascii="Arial" w:hAnsi="Arial"/>
          <w:sz w:val="21"/>
        </w:rPr>
        <w:t>The FTX linked AMC product investigated in the earlier report was governed as a bilateral cash settled derivative with CM Equity acting as the counterparty. The customer did not own an AMC share. CM Equity reported hedge activity for the relevant class of customer liabilities, and public records identified the dominant brokerage gateway and possible routing destinations. What remained missing was the customer and order identifier connecting the obligation to a specific hedge, execution and settlement entry. We could see pieces of the machine. We could not prove which gear turned for which customer claim.</w:t>
      </w:r>
    </w:p>
    <w:p>
      <w:pPr>
        <w:keepLines w:val="0"/>
        <w:widowControl/>
        <w:ind w:firstLine="317"/>
        <w:jc w:val="both"/>
        <w:suppressAutoHyphens w:val="1"/>
      </w:pPr>
      <w:r>
        <w:rPr>
          <w:rFonts w:ascii="Arial" w:hAnsi="Arial"/>
          <w:sz w:val="21"/>
        </w:rPr>
        <w:t>Robinhood's structure is not identical. RHJ openly calls its Stock Tokens debt securities, identifies a canonical public contract and markets them as one for one backed by underlying shares held through custody. The token supply and transfers are visible. Those differences matter. They improve the public evidence available at the token layer. I am not going to flatten meaningful distinctions just to make the comparison more dramatic. The truth is strong enough without cheap editing.</w:t>
      </w:r>
    </w:p>
    <w:p>
      <w:pPr>
        <w:keepLines w:val="0"/>
        <w:widowControl/>
        <w:ind w:firstLine="317"/>
        <w:jc w:val="both"/>
        <w:suppressAutoHyphens w:val="1"/>
      </w:pPr>
      <w:r>
        <w:rPr>
          <w:rFonts w:ascii="Arial" w:hAnsi="Arial"/>
          <w:sz w:val="21"/>
        </w:rPr>
        <w:t>But the final attribution problem remains painfully familiar. The public can count tokens without seeing the complete broker file. The public can observe a mint without seeing the authorized participant subscription. The public can read a price feed without seeing the settled collateral. The public can inspect a wallet without knowing its beneficial owner. The blockchain gives us a better traffic camera. It still may not provide the driver's license, the shipment record or the warehouse inventory. Apparently, the camera was supposed to make every other document unnecessary.</w:t>
      </w:r>
    </w:p>
    <w:p>
      <w:pPr>
        <w:keepLines w:val="0"/>
        <w:widowControl/>
        <w:ind w:firstLine="317"/>
        <w:jc w:val="both"/>
        <w:suppressAutoHyphens w:val="1"/>
      </w:pPr>
      <w:r>
        <w:rPr>
          <w:rFonts w:ascii="Arial" w:hAnsi="Arial"/>
          <w:sz w:val="21"/>
        </w:rPr>
        <w:t>The FTX comparison therefore must remain structural, not accusatory. FTX's collapse and proven control failures do not establish misconduct by Robinhood. A shared audit gap does not prove a shared fraud. The proper lesson is that visible token activity cannot substitute for proof of reserve, custody and settlement, regardless of whether the issuer ultimately performs every obligation. We already watched one industry confuse a visible digital claim with independently verified backing. I am not accusing Robinhood of repeating the outcome. I am refusing to repeat the analytical mistake.</w:t>
      </w:r>
    </w:p>
    <w:p>
      <w:pPr>
        <w:keepLines w:val="0"/>
        <w:widowControl/>
        <w:ind w:firstLine="317"/>
        <w:jc w:val="both"/>
        <w:suppressAutoHyphens w:val="1"/>
      </w:pPr>
      <w:r>
        <w:rPr>
          <w:rFonts w:ascii="Arial" w:hAnsi="Arial"/>
          <w:sz w:val="21"/>
        </w:rPr>
        <w:t>That is why this event belongs in the new evidence report near the end, immediately before the Final Word. The APE issuance and conversion chapters examine corporate distribution, voting, DTC records and settlement obligations. The Robinhood event is a modern case study showing how a tokenized debt claim tied to AMC can develop broken price discovery while the public remains unable to reconcile the token supply to the off chain asset chain. The technology changed. The wrapper improved. The old question still walked through the front door and sat down at the evidence desk.</w:t>
      </w:r>
    </w:p>
    <w:p>
      <w:pPr>
        <w:pStyle w:val="ApeCagePunch"/>
        <w:suppressAutoHyphens w:val="1"/>
      </w:pPr>
      <w:r>
        <w:rPr>
          <w:rFonts w:ascii="Arial" w:hAnsi="Arial"/>
          <w:b/>
          <w:i/>
          <w:color w:val="2C2C2C"/>
          <w:sz w:val="21"/>
        </w:rPr>
        <w:t>The public reached the same locked door and found the same missing sign. Show us the transaction level bridge. This is not proof that Robinhood repeated FTX. It is proof that the FTX audit question survived the upgrade, bought a nicer interface and learned how to say transparency with a straight face.</w:t>
      </w:r>
    </w:p>
    <w:p>
      <w:pPr>
        <w:keepLines w:val="0"/>
        <w:widowControl/>
        <w:ind w:firstLine="317"/>
        <w:jc w:val="both"/>
        <w:suppressAutoHyphens w:val="1"/>
      </w:pPr>
      <w:r>
        <w:rPr>
          <w:rFonts w:ascii="Arial" w:hAnsi="Arial"/>
          <w:sz w:val="21"/>
        </w:rPr>
        <w:t>Once that comparison is kept inside the evidence, the next convenient explanation arrives from the macro desk. Apparently, the yen carry trade volunteered to take responsibility for an AMC pool before anybody produced a transaction connecting the two.</w:t>
      </w:r>
    </w:p>
    <w:p>
      <w:pPr>
        <w:pStyle w:val="Heading1"/>
        <w:suppressAutoHyphens w:val="1"/>
        <w:pBdr>
          <w:bottom w:val="single" w:sz="8" w:space="4" w:color="6B217E"/>
        </w:pBdr>
      </w:pPr>
      <w:r>
        <w:rPr>
          <w:rFonts w:ascii="Arial Black" w:hAnsi="Arial Black"/>
          <w:b/>
          <w:color w:val="441457"/>
          <w:sz w:val="28"/>
        </w:rPr>
        <w:t>Apparently, Negative Carry Confessed to an AMC Pool Failure Without Showing a Single Transaction</w:t>
      </w:r>
    </w:p>
    <w:p>
      <w:pPr>
        <w:keepLines w:val="0"/>
        <w:widowControl/>
        <w:ind w:firstLine="317"/>
        <w:jc w:val="both"/>
        <w:suppressAutoHyphens w:val="1"/>
      </w:pPr>
      <w:r>
        <w:rPr>
          <w:rFonts w:ascii="Arial" w:hAnsi="Arial"/>
          <w:sz w:val="21"/>
        </w:rPr>
        <w:t>Treasury Secretary Scott Bessent warned on August 29 that disorderly yen moves could force leveraged positions to unwind and destabilize global markets. [S14] That mechanism is real. A carry trade can become uneconomic when funding costs rise, the funding currency strengthens or risk managers reduce leverage. Forced unwinds can spread volatility across asset classes. I am not dismissing the mechanism merely because somebody used it as an oversized explanation for a tiny and highly specific token market.</w:t>
      </w:r>
    </w:p>
    <w:p>
      <w:pPr>
        <w:keepLines w:val="0"/>
        <w:widowControl/>
        <w:ind w:firstLine="317"/>
        <w:jc w:val="both"/>
        <w:suppressAutoHyphens w:val="1"/>
      </w:pPr>
      <w:r>
        <w:rPr>
          <w:rFonts w:ascii="Arial" w:hAnsi="Arial"/>
          <w:sz w:val="21"/>
        </w:rPr>
        <w:t>That broad mechanism does not explain the AMC token event without evidence connecting it to the pools, market makers or authorized participants involved. The AMC token reached a reported 64.4 times the common share reference while the product had extremely shallow executable depth, fragmented markets and restricted primary creation. Negative carry can explain a general reduction in risk. It does not explain why several pools assigned radically different prices to the same canonical debt token. A global macro phrase is not a transaction record, no matter how impressive it sounds on television.</w:t>
      </w:r>
    </w:p>
    <w:p>
      <w:pPr>
        <w:keepLines w:val="0"/>
        <w:widowControl/>
        <w:ind w:firstLine="317"/>
        <w:jc w:val="both"/>
        <w:suppressAutoHyphens w:val="1"/>
      </w:pPr>
      <w:r>
        <w:rPr>
          <w:rFonts w:ascii="Arial" w:hAnsi="Arial"/>
          <w:sz w:val="21"/>
        </w:rPr>
        <w:t>The timing makes the easy explanation even weaker. On August 30, Bessent described the current yen moves as contained and not disorderly. [S15] The earlier warning concerned what disorderly currency movement could do to global markets. It was not a finding that a yen unwind caused the AMC token spike. Turning a conditional macro warning into a security specific explanation requires evidence, not smoke from a television studio and a vocabulary contest.</w:t>
      </w:r>
    </w:p>
    <w:p>
      <w:pPr>
        <w:keepLines w:val="0"/>
        <w:widowControl/>
        <w:ind w:firstLine="317"/>
        <w:jc w:val="both"/>
        <w:suppressAutoHyphens w:val="1"/>
      </w:pPr>
      <w:r>
        <w:rPr>
          <w:rFonts w:ascii="Arial" w:hAnsi="Arial"/>
          <w:sz w:val="21"/>
        </w:rPr>
        <w:t>A carry unwind would ordinarily produce observable cross asset stress, funding pressure, forced sales or broad repricing. The AMC event instead displayed the fingerprints of a tiny fragmented token market, including scarce circulating supply, shallow pools, wildly different local prices, high reported volume relative to depth and a later return toward the reference as supply and liquidity changed. That mechanism is closer to the evidence actually visible. Start with the market that broke before importing a global explanation large enough to hide every local detail.</w:t>
      </w:r>
    </w:p>
    <w:p>
      <w:pPr>
        <w:keepLines w:val="0"/>
        <w:widowControl/>
        <w:ind w:firstLine="317"/>
        <w:jc w:val="both"/>
        <w:suppressAutoHyphens w:val="1"/>
      </w:pPr>
      <w:r>
        <w:rPr>
          <w:rFonts w:ascii="Arial" w:hAnsi="Arial"/>
          <w:sz w:val="21"/>
        </w:rPr>
        <w:t>Negative carry may have contributed to the broader environment. It cannot be ruled out as a background condition. But the specific explanation for this event must begin with the pool structure, the restricted creation mechanism, the liquidity, the token supply and the timing of new issuance. A global carry trade can move markets. It does not get to confess to an AMC pool failure without showing its transaction record, its wallet, its market maker or any other evidence that it entered the room.</w:t>
      </w:r>
    </w:p>
    <w:p>
      <w:pPr>
        <w:keepLines w:val="0"/>
        <w:widowControl/>
        <w:ind w:firstLine="317"/>
        <w:jc w:val="both"/>
        <w:suppressAutoHyphens w:val="1"/>
      </w:pPr>
      <w:r>
        <w:rPr>
          <w:rFonts w:ascii="Arial" w:hAnsi="Arial"/>
          <w:sz w:val="21"/>
        </w:rPr>
        <w:t>With the legal instrument identified, the price failure measured, the audit gap defined, the FTX comparison restrained and the macro excuse returned to the shelf until it produces evidence, we can separate what the record proves from what the bullshit still wants us to assume.</w:t>
      </w:r>
    </w:p>
    <w:p>
      <w:pPr>
        <w:pStyle w:val="Heading1"/>
        <w:suppressAutoHyphens w:val="1"/>
        <w:pBdr>
          <w:bottom w:val="single" w:sz="8" w:space="4" w:color="6B217E"/>
        </w:pBdr>
      </w:pPr>
      <w:r>
        <w:rPr>
          <w:rFonts w:ascii="Arial Black" w:hAnsi="Arial Black"/>
          <w:b/>
          <w:color w:val="441457"/>
          <w:sz w:val="28"/>
        </w:rPr>
        <w:t>What the Evidence Proves, What It Suggests and What the Bullshit Still Does Not Prove</w:t>
      </w:r>
    </w:p>
    <w:p>
      <w:pPr>
        <w:keepLines w:val="0"/>
        <w:widowControl/>
        <w:ind w:firstLine="317"/>
        <w:jc w:val="both"/>
        <w:suppressAutoHyphens w:val="1"/>
      </w:pPr>
      <w:r>
        <w:rPr>
          <w:rFonts w:ascii="Arial" w:hAnsi="Arial"/>
          <w:sz w:val="21"/>
        </w:rPr>
        <w:t>The documented facts are straightforward. Robinhood classifies the AMC Stock Token as a tokenized debt security issued by RHJ. The holder receives economic exposure but not ownership or beneficial rights in AMC common stock. [S1] Robinhood publicly represents its circulating Stock Tokens as backed one for one by corresponding underlying equity held through a custody partner. [S2] The canonical AMC contract traded radically above AMC common stock and reached a reported high of $166.86 while AMC remained near $2.59 to $2.60. [S5] [S8] [S10] Direct primary subscriptions are restricted to authorized participants. Ordinary holders trade through secondary venues and cannot force direct creation merely because a pool price separates from AMC. [S1] [S3] The Base Prospectus contains a conditional securities lending framework but stated that no Prime Borrower had been appointed and no securities lending agreement had been entered as of the prospectus date. [S6]</w:t>
      </w:r>
    </w:p>
    <w:p>
      <w:pPr>
        <w:keepLines w:val="0"/>
        <w:widowControl/>
        <w:ind w:firstLine="317"/>
        <w:jc w:val="both"/>
        <w:suppressAutoHyphens w:val="1"/>
      </w:pPr>
      <w:r>
        <w:rPr>
          <w:rFonts w:ascii="Arial" w:hAnsi="Arial"/>
          <w:sz w:val="21"/>
        </w:rPr>
        <w:t>The reasonable inference is also clear, but it remains an inference. Scarce early supply, shallow liquidity, fragmented pools, continuous trading and restricted primary creation allowed local prices to detach before additional supply or arbitrage restored alignment. The later increase in reported supply and return toward the AMC reference are consistent with authorized creation and arbitrage, but the public tracker does not identify the complete creation, broker and custody sequence. The evidence points toward a mechanism. It does not provide every transaction required to close the chain.</w:t>
      </w:r>
    </w:p>
    <w:p>
      <w:pPr>
        <w:keepLines w:val="0"/>
        <w:widowControl/>
        <w:ind w:firstLine="317"/>
        <w:jc w:val="both"/>
        <w:suppressAutoHyphens w:val="1"/>
      </w:pPr>
      <w:r>
        <w:rPr>
          <w:rFonts w:ascii="Arial" w:hAnsi="Arial"/>
          <w:sz w:val="21"/>
        </w:rPr>
        <w:t>The open question is whether the AMC Final Terms made lending of the underlying applicable and whether any AMC shares or replacement collateral were actually lent, pledged, substituted, commingled or onward lent. That question remains open because the decisive product terms and transaction records have not yet completed the bridge. I am not going to fill the gap with optimism for Robinhood or suspicion against Robinhood. I am going to point at the gap until somebody produces the record.</w:t>
      </w:r>
    </w:p>
    <w:p>
      <w:pPr>
        <w:keepLines w:val="0"/>
        <w:widowControl/>
        <w:ind w:firstLine="317"/>
        <w:jc w:val="both"/>
        <w:suppressAutoHyphens w:val="1"/>
      </w:pPr>
      <w:r>
        <w:rPr>
          <w:rFonts w:ascii="Arial" w:hAnsi="Arial"/>
          <w:sz w:val="21"/>
        </w:rPr>
        <w:t>What is not proven matters just as much. The event does not prove missing collateral, counterfeit AMC shares, naked short selling, rehypothecation, manipulation by Robinhood or that AMC common stock should have traded at the token's $166.86 peak. Refusing to overstate the evidence is not weakness. It is what keeps the real finding from being buried under a claim the documents cannot support.</w:t>
      </w:r>
    </w:p>
    <w:p>
      <w:pPr>
        <w:keepLines w:val="0"/>
        <w:widowControl/>
        <w:ind w:firstLine="317"/>
        <w:jc w:val="both"/>
        <w:suppressAutoHyphens w:val="1"/>
      </w:pPr>
      <w:r>
        <w:rPr>
          <w:rFonts w:ascii="Arial" w:hAnsi="Arial"/>
          <w:sz w:val="21"/>
        </w:rPr>
        <w:t>The auditability verdict is therefore precise. Chaotic is correct that a public ledger improves the audit trail for token supply and movement. The claim fails only when visibility of the debt token is treated as proof of the collateral, custody, settlement and lending records behind it. The evidence proves a price failure and an audit gap. It does not prove the cause that still requires private records. That is not a boring conclusion. It is an infuriating one, because the institutions advertising transparency are the same institutions holding the records required to complete it.</w:t>
      </w:r>
    </w:p>
    <w:p>
      <w:pPr>
        <w:keepLines w:val="0"/>
        <w:widowControl/>
        <w:ind w:firstLine="317"/>
        <w:jc w:val="both"/>
        <w:suppressAutoHyphens w:val="1"/>
      </w:pPr>
      <w:r>
        <w:rPr>
          <w:rFonts w:ascii="Arial" w:hAnsi="Arial"/>
          <w:sz w:val="21"/>
        </w:rPr>
        <w:t>So the report does not end with a slogan. It ends with a records demand. Apparently, transparency still needs a complete evidence package before it becomes more than a marketing department congratulating itself.</w:t>
      </w:r>
    </w:p>
    <w:p>
      <w:pPr>
        <w:pStyle w:val="Heading1"/>
        <w:suppressAutoHyphens w:val="1"/>
        <w:pBdr>
          <w:bottom w:val="single" w:sz="8" w:space="4" w:color="6B217E"/>
        </w:pBdr>
      </w:pPr>
      <w:r>
        <w:rPr>
          <w:rFonts w:ascii="Arial Black" w:hAnsi="Arial Black"/>
          <w:b/>
          <w:color w:val="441457"/>
          <w:sz w:val="28"/>
        </w:rPr>
        <w:t>The Records Request: Because Transparency Apparently Needs a Full Evidence Package</w:t>
      </w:r>
    </w:p>
    <w:p>
      <w:pPr>
        <w:keepLines w:val="0"/>
        <w:widowControl/>
        <w:ind w:firstLine="317"/>
        <w:jc w:val="both"/>
        <w:suppressAutoHyphens w:val="1"/>
      </w:pPr>
      <w:r>
        <w:rPr>
          <w:rFonts w:ascii="Arial" w:hAnsi="Arial"/>
          <w:sz w:val="21"/>
        </w:rPr>
        <w:t>The first record group is the token ledger package. It must contain the canonical contract, complete transaction history, supply snapshots at every material timestamp, mint and burn authority addresses, identified issuer and authorized participant wallets, major holder mapping and every pool reserve snapshot during the price explosion. The chain provides much of this evidence, but wallet ownership and operational purpose still require attribution. A wallet address is not a legal identity merely because the numbers are public.</w:t>
      </w:r>
    </w:p>
    <w:p>
      <w:pPr>
        <w:keepLines w:val="0"/>
        <w:widowControl/>
        <w:ind w:firstLine="317"/>
        <w:jc w:val="both"/>
        <w:suppressAutoHyphens w:val="1"/>
      </w:pPr>
      <w:r>
        <w:rPr>
          <w:rFonts w:ascii="Arial" w:hAnsi="Arial"/>
          <w:sz w:val="21"/>
        </w:rPr>
        <w:t>The second group is the primary creation package. It must include every AMC subscription and redemption request, order time, quantity, funding source, approval status, rejection reason, settlement identifier and corresponding mint or burn transaction. That package must show which authorized participant acted, when RHJ accepted the request and when the token supply changed. A mint without the creation file is a visible result with the institutional cause removed.</w:t>
      </w:r>
    </w:p>
    <w:p>
      <w:pPr>
        <w:keepLines w:val="0"/>
        <w:widowControl/>
        <w:ind w:firstLine="317"/>
        <w:jc w:val="both"/>
        <w:suppressAutoHyphens w:val="1"/>
      </w:pPr>
      <w:r>
        <w:rPr>
          <w:rFonts w:ascii="Arial" w:hAnsi="Arial"/>
          <w:sz w:val="21"/>
        </w:rPr>
        <w:t>The third group is the broker and settlement package. It must include execution confirmations showing the number and price of AMC shares purchased or sold for each creation or redemption, the carrying broker, order identifiers, execution venue, trade date, settlement date and DTC movement. Without those records, the public cannot determine whether the asset supporting a new token was purchased and settled before, during or after the token entered circulation. This is where the public chain stops and the traditional market plumbing begins pretending it cannot hear us knocking.</w:t>
      </w:r>
    </w:p>
    <w:p>
      <w:pPr>
        <w:keepLines w:val="0"/>
        <w:widowControl/>
        <w:ind w:firstLine="317"/>
        <w:jc w:val="both"/>
        <w:suppressAutoHyphens w:val="1"/>
      </w:pPr>
      <w:r>
        <w:rPr>
          <w:rFonts w:ascii="Arial" w:hAnsi="Arial"/>
          <w:sz w:val="21"/>
        </w:rPr>
        <w:t>The fourth group is the custody package. It must show daily settled AMC positions allocated to the AMC token series, cash in transit, account segregation, liens, control agreements, collateral substitutions and reconciliation against the issuer's outstanding redemption obligation. A cryptographically signed proof of reserve or independent custodian attestation should connect the private position to the public token supply. Robinhood says one for one. This is the package that places both ones on the same page.</w:t>
      </w:r>
    </w:p>
    <w:p>
      <w:pPr>
        <w:keepLines w:val="0"/>
        <w:widowControl/>
        <w:ind w:firstLine="317"/>
        <w:jc w:val="both"/>
        <w:suppressAutoHyphens w:val="1"/>
      </w:pPr>
      <w:r>
        <w:rPr>
          <w:rFonts w:ascii="Arial" w:hAnsi="Arial"/>
          <w:sz w:val="21"/>
        </w:rPr>
        <w:t>The fifth group is the securities lending package. It must include the AMC Final Terms and all amendments, the applicable lending election, every Prime Borrower and End Borrower, each loan identifier, quantity, collateral type, collateral value, daily margin history, substitution record, recall and return status. If no lending occurred, the records should be capable of proving that negative as clearly as a loan file would prove the opposite. No vague assurance. No trust us. A record.</w:t>
      </w:r>
    </w:p>
    <w:p>
      <w:pPr>
        <w:keepLines w:val="0"/>
        <w:widowControl/>
        <w:ind w:firstLine="317"/>
        <w:jc w:val="both"/>
        <w:suppressAutoHyphens w:val="1"/>
      </w:pPr>
      <w:r>
        <w:rPr>
          <w:rFonts w:ascii="Arial" w:hAnsi="Arial"/>
          <w:sz w:val="21"/>
        </w:rPr>
        <w:t>The sixth group is the pricing package. It must include the Chainlink reference feed history, every multiplier value, the raw underlying bid and ask, oracle timestamps, stale status, pool reserve history, swap history and the methodology used by each data aggregator to convert pool prices into United States dollars. Quote tokens must be tested for circular or unreliable valuation before their prices are treated as evidence. A number does not become trustworthy merely because software printed it quickly and attached two decimal places.</w:t>
      </w:r>
    </w:p>
    <w:p>
      <w:pPr>
        <w:keepLines w:val="0"/>
        <w:widowControl/>
        <w:ind w:firstLine="317"/>
        <w:jc w:val="both"/>
        <w:suppressAutoHyphens w:val="1"/>
      </w:pPr>
      <w:r>
        <w:rPr>
          <w:rFonts w:ascii="Arial" w:hAnsi="Arial"/>
          <w:sz w:val="21"/>
        </w:rPr>
        <w:t>Those records would convert the public ledger from a transparent fragment into a complete audit chain. They would show the token, the legal obligation, the authorized creation, the broker purchase, the settlement, the custodian position, the lending status and the final reconciliation. Without that chain, claims of auditability remain directionally true but evidentially incomplete. The chain is not useless. The sales pitch is simply taking credit for rooms it has not opened.</w:t>
      </w:r>
    </w:p>
    <w:p>
      <w:pPr>
        <w:pStyle w:val="ApeCagePunch"/>
        <w:suppressAutoHyphens w:val="1"/>
      </w:pPr>
      <w:r>
        <w:rPr>
          <w:rFonts w:ascii="Arial" w:hAnsi="Arial"/>
          <w:b/>
          <w:i/>
          <w:color w:val="2C2C2C"/>
          <w:sz w:val="21"/>
        </w:rPr>
        <w:t>Show the token. Show the subscription. Show the trade. Show the settlement. Show the custodian. Show the loan. Then reconcile every number without a gap. That is not an attack on innovation. That is the basic price of using the word transparent in public without laughing.</w:t>
      </w:r>
    </w:p>
    <w:p>
      <w:pPr>
        <w:keepLines w:val="0"/>
        <w:widowControl/>
        <w:ind w:firstLine="317"/>
        <w:jc w:val="both"/>
        <w:suppressAutoHyphens w:val="1"/>
      </w:pPr>
      <w:r>
        <w:rPr>
          <w:rFonts w:ascii="Arial" w:hAnsi="Arial"/>
          <w:sz w:val="21"/>
        </w:rPr>
        <w:t>That is where the evidence desk ends. The token event has been classified. The fair version of Chaotic's argument has been tested. The FTX comparison has been limited to structure. Bessent's macro warning has been separated from the AMC specific evidence. The documented facts, reasonable inferences, open questions and unsupported claims have been placed in their proper lanes.</w:t>
      </w:r>
    </w:p>
    <w:p>
      <w:pPr>
        <w:keepLines w:val="0"/>
        <w:widowControl/>
        <w:ind w:firstLine="317"/>
        <w:jc w:val="both"/>
        <w:suppressAutoHyphens w:val="1"/>
      </w:pPr>
      <w:r>
        <w:rPr>
          <w:rFonts w:ascii="Arial" w:hAnsi="Arial"/>
          <w:sz w:val="21"/>
        </w:rPr>
        <w:t>The polite part of the report is now complete. Security James's Final Word is next, and the debt vessel is not leaving until somebody opens the damn vault.</w:t>
      </w:r>
    </w:p>
    <w:p>
      <w:pPr>
        <w:pStyle w:val="Heading1"/>
        <w:suppressAutoHyphens w:val="1"/>
        <w:pBdr>
          <w:bottom w:val="single" w:sz="8" w:space="4" w:color="6B217E"/>
        </w:pBdr>
      </w:pPr>
      <w:r>
        <w:rPr>
          <w:rFonts w:ascii="Arial Black" w:hAnsi="Arial Black"/>
          <w:b/>
          <w:color w:val="441457"/>
          <w:sz w:val="28"/>
        </w:rPr>
        <w:t>Security James's Final Word: Sorry for Crapping on the Blockchain Parade by Asking Where the Damn Shares Are</w:t>
      </w:r>
    </w:p>
    <w:p>
      <w:pPr>
        <w:keepLines w:val="0"/>
        <w:widowControl/>
        <w:ind w:firstLine="317"/>
        <w:jc w:val="both"/>
        <w:suppressAutoHyphens w:val="1"/>
      </w:pPr>
      <w:r>
        <w:rPr>
          <w:rFonts w:ascii="Arial" w:hAnsi="Arial"/>
          <w:sz w:val="21"/>
        </w:rPr>
        <w:t>Let me be clear about something. I understand why careful language matters. I understand why documented facts must be separated from allegations, reasonable inferences, open questions and personal opinion. I have followed those rules throughout this report because evidence matters. I have no interest in replacing their unsupported sales pitch with an unsupported accusation of my own. But neutrality does not require me to pretend that the obvious is invisible, and responsible reporting does not require me to smile politely while somebody markets half an audit as complete transparency.</w:t>
      </w:r>
    </w:p>
    <w:p>
      <w:pPr>
        <w:keepLines w:val="0"/>
        <w:widowControl/>
        <w:ind w:firstLine="317"/>
        <w:jc w:val="both"/>
        <w:suppressAutoHyphens w:val="1"/>
      </w:pPr>
      <w:r>
        <w:rPr>
          <w:rFonts w:ascii="Arial" w:hAnsi="Arial"/>
          <w:sz w:val="21"/>
        </w:rPr>
        <w:t>This structure is being advertised as progress, trust, transparency and technological modernization. Yet the instrument Robinhood customers receive is not an AMC share. It is a contractual debt obligation whose payment value is connected to AMC. The customer can watch that obligation move at T plus zero, but that movement does not automatically reveal where the corresponding AMC collateral is held, whether it remains continuously held, whether the purchase settled, whether the shares were allocated to the AMC product series, whether they were lent, whether they were pledged, whether they were substituted, whether another intermediary has a competing claim or whether the same economic exposure has been promised somewhere else.</w:t>
      </w:r>
    </w:p>
    <w:p>
      <w:pPr>
        <w:keepLines w:val="0"/>
        <w:widowControl/>
        <w:ind w:firstLine="317"/>
        <w:jc w:val="both"/>
        <w:suppressAutoHyphens w:val="1"/>
      </w:pPr>
      <w:r>
        <w:rPr>
          <w:rFonts w:ascii="Arial" w:hAnsi="Arial"/>
          <w:sz w:val="21"/>
        </w:rPr>
        <w:t>Apparently, we have reached the stage of financial innovation where displaying the movement of the receipt is supposed to prevent customers from asking what happened to the property behind the receipt. The token moves across a public ledger, everybody throws blockchain confetti, somebody from marketing says transparency six times and we are all expected to forget that the actual AMC shares remain behind an institutional curtain. That is not complete transparency. That is a beautifully illuminated front counter with the warehouse doors welded shut.</w:t>
      </w:r>
    </w:p>
    <w:p>
      <w:pPr>
        <w:keepLines w:val="0"/>
        <w:widowControl/>
        <w:ind w:firstLine="317"/>
        <w:jc w:val="both"/>
        <w:suppressAutoHyphens w:val="1"/>
      </w:pPr>
      <w:r>
        <w:rPr>
          <w:rFonts w:ascii="Arial" w:hAnsi="Arial"/>
          <w:sz w:val="21"/>
        </w:rPr>
        <w:t>This is where I get angry. Retail investors are constantly told that we must follow every rule, respect every deadline, settle every obligation, accept every technical explanation and avoid making any statement that cannot be supported by documentation. Fine. I agree. Those standards should apply to us. They should also apply to the institutions building and selling these products. Apparently, accountability was not supposed to travel in both directions. Retail has to prove every sentence while Wall Street gets to print one for one on a brochure, keep the reconciliation private and act offended when somebody asks to see both ones.</w:t>
      </w:r>
    </w:p>
    <w:p>
      <w:pPr>
        <w:keepLines w:val="0"/>
        <w:widowControl/>
        <w:ind w:firstLine="317"/>
        <w:jc w:val="both"/>
        <w:suppressAutoHyphens w:val="1"/>
      </w:pPr>
      <w:r>
        <w:rPr>
          <w:rFonts w:ascii="Arial" w:hAnsi="Arial"/>
          <w:sz w:val="21"/>
        </w:rPr>
        <w:t>We have to play by the rules. We have to preserve the documents. We have to separate facts from inferences. We have to correct ourselves when the evidence does not support the conclusion. Meanwhile, the institutions on the other side can control the records, control the terminology, control the access and then use our inability to see inside their systems as though it proves there is nothing to see. I am not claiming this report proves deliberate lawbreaking. It does not. I am saying the posture has become increasingly in your face. Not careless. Not confused. Confident. Almost as though the message is, "We built the system, we control what you are allowed to verify, and you are going to lose the argument because the evidence you need is sitting in our vault."</w:t>
      </w:r>
    </w:p>
    <w:p>
      <w:pPr>
        <w:keepLines w:val="0"/>
        <w:widowControl/>
        <w:ind w:firstLine="317"/>
        <w:jc w:val="both"/>
        <w:suppressAutoHyphens w:val="1"/>
      </w:pPr>
      <w:r>
        <w:rPr>
          <w:rFonts w:ascii="Arial" w:hAnsi="Arial"/>
          <w:sz w:val="21"/>
        </w:rPr>
        <w:t>That is the part that pisses me off. They do not get to weaponize our burden of proof against us while holding the records required to meet it. They do not get to demand restraint from retail while treating institutional secrecy as a substitute for evidence. They do not get to advertise an auditable system while refusing to expose the custody chain required to audit the underlying asset. They do not get to call something ownership when the governing documents describe a debt obligation. They do not get to point at instant token movement and pretend that it answers questions about collateral, broker execution, settlement, custody, lending, substitution, rehypothecation and beneficial ownership.</w:t>
      </w:r>
    </w:p>
    <w:p>
      <w:pPr>
        <w:keepLines w:val="0"/>
        <w:widowControl/>
        <w:ind w:firstLine="317"/>
        <w:jc w:val="both"/>
        <w:suppressAutoHyphens w:val="1"/>
      </w:pPr>
      <w:r>
        <w:rPr>
          <w:rFonts w:ascii="Arial" w:hAnsi="Arial"/>
          <w:sz w:val="21"/>
        </w:rPr>
        <w:t>That is like handing me a numbered coat check ticket, refusing to show me the coat room and then calling me a conspiracy theorist because I asked whether my coat is still inside. Apparently, the transparent part is the ticket. The coat, the room, the employee, the inventory sheet and the security camera are private, but I am supposed to stop asking questions because the number on my ticket is permanent.</w:t>
      </w:r>
    </w:p>
    <w:p>
      <w:pPr>
        <w:keepLines w:val="0"/>
        <w:widowControl/>
        <w:ind w:firstLine="317"/>
        <w:jc w:val="both"/>
        <w:suppressAutoHyphens w:val="1"/>
      </w:pPr>
      <w:r>
        <w:rPr>
          <w:rFonts w:ascii="Arial" w:hAnsi="Arial"/>
          <w:sz w:val="21"/>
        </w:rPr>
        <w:t>Well, here is the problem. Some of us read the contracts. Some of us compare the marketing language to the legal language. Some of us remember FTX, CM Equity, tokenized stocks, supposedly backed instruments, hidden intermediaries and all the impressive assurances that became substantially less impressive when people finally demanded the transaction records. That comparison does not prove Robinhood repeated FTX. It proves that the same audit question survived the upgrade. Where is the transaction level bridge connecting the visible token to the asset that supposedly supports it?</w:t>
      </w:r>
    </w:p>
    <w:p>
      <w:pPr>
        <w:keepLines w:val="0"/>
        <w:widowControl/>
        <w:ind w:firstLine="317"/>
        <w:jc w:val="both"/>
        <w:suppressAutoHyphens w:val="1"/>
      </w:pPr>
      <w:r>
        <w:rPr>
          <w:rFonts w:ascii="Arial" w:hAnsi="Arial"/>
          <w:sz w:val="21"/>
        </w:rPr>
        <w:t>So no, I am not going to clap because the debt vessel moves instantly. Show me the AMC collateral. Show me the authorized participant subscription. Show me the broker execution. Show me the settlement identifier. Show me the DTC movement. Show me the custodian. Show me the account structure. Show me the daily reconciliation. Show me the lending restrictions. Show me whether the collateral can be pledged, substituted, commingled, rehypothecated or used to support another obligation. Show me how many contractual claims exist against each underlying share. Show me what happens during insolvency. Show me whether the customer owns an asset or merely stands in line as a creditor.</w:t>
      </w:r>
    </w:p>
    <w:p>
      <w:pPr>
        <w:keepLines w:val="0"/>
        <w:widowControl/>
        <w:ind w:firstLine="317"/>
        <w:jc w:val="both"/>
        <w:suppressAutoHyphens w:val="1"/>
      </w:pPr>
      <w:r>
        <w:rPr>
          <w:rFonts w:ascii="Arial" w:hAnsi="Arial"/>
          <w:sz w:val="21"/>
        </w:rPr>
        <w:t>That is not an unreasonable demand. Robinhood is the party advertising one for one backing. Robinhood is the party marketing transparency. Robinhood is the party presenting this structure as a technological improvement over traditional market plumbing. Investigators should not have to prove that collateral is missing before asking for the records that would prove it is present. The burden should not be turned upside down merely because the institution making the claim would prefer applause over inspection.</w:t>
      </w:r>
    </w:p>
    <w:p>
      <w:pPr>
        <w:keepLines w:val="0"/>
        <w:widowControl/>
        <w:ind w:firstLine="317"/>
        <w:jc w:val="both"/>
        <w:suppressAutoHyphens w:val="1"/>
      </w:pPr>
      <w:r>
        <w:rPr>
          <w:rFonts w:ascii="Arial" w:hAnsi="Arial"/>
          <w:sz w:val="21"/>
        </w:rPr>
        <w:t>Until those questions are answered, T plus zero proves that the digital obligation moved quickly. It does not independently prove that the corresponding AMC share was purchased, settled, uniquely allocated, continuously held, unencumbered and available to satisfy the obligation. The public ledger can audit the movement of the debt vessel. It cannot independently audit the private collateral, custody, settlement and lending chain behind that vessel unless those records are connected to it through verifiable evidence.</w:t>
      </w:r>
    </w:p>
    <w:p>
      <w:pPr>
        <w:keepLines w:val="0"/>
        <w:widowControl/>
        <w:ind w:firstLine="317"/>
        <w:jc w:val="both"/>
        <w:suppressAutoHyphens w:val="1"/>
      </w:pPr>
      <w:r>
        <w:rPr>
          <w:rFonts w:ascii="Arial" w:hAnsi="Arial"/>
          <w:sz w:val="21"/>
        </w:rPr>
        <w:t>Technology does not eliminate trust when the critical records remain private. It merely gives trust a faster user interface. Wall Street can dress that arrangement in blockchain language, regulatory language, modernization language and enough expensive vocabulary to choke an entire compliance department, but underneath all of it, the question remains embarrassingly simple.</w:t>
      </w:r>
    </w:p>
    <w:p>
      <w:pPr>
        <w:pStyle w:val="ApeCagePunch"/>
        <w:suppressAutoHyphens w:val="1"/>
      </w:pPr>
      <w:r>
        <w:rPr>
          <w:rFonts w:ascii="Arial" w:hAnsi="Arial"/>
          <w:b/>
          <w:i/>
          <w:color w:val="2C2C2C"/>
          <w:sz w:val="21"/>
        </w:rPr>
        <w:t>Where are the shares, who controls them, what have they been used for, and will you provide the records to prove it?</w:t>
      </w:r>
    </w:p>
    <w:p>
      <w:pPr>
        <w:pStyle w:val="ApeCagePunch"/>
        <w:suppressAutoHyphens w:val="1"/>
      </w:pPr>
      <w:r>
        <w:rPr>
          <w:rFonts w:ascii="Arial" w:hAnsi="Arial"/>
          <w:b/>
          <w:i/>
          <w:color w:val="2C2C2C"/>
          <w:sz w:val="21"/>
        </w:rPr>
        <w:t>Because if your revolutionary transparent system cannot answer those four questions, congratulations. You did not eliminate the black box. You put the receipt on a blockchain, installed flashing lights around the vault and gave the black box an app.</w:t>
      </w:r>
    </w:p>
    <w:sectPr w:rsidR="00FC693F" w:rsidRPr="0006063C" w:rsidSect="00034616">
      <w:headerReference w:type="default" r:id="rId9"/>
      <w:footerReference w:type="default" r:id="rId10"/>
      <w:pgSz w:w="12240" w:h="15840"/>
      <w:pgMar w:top="936" w:right="1123" w:bottom="936" w:left="112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suppressAutoHyphens w:val="1"/>
    </w:pPr>
    <w:r>
      <w:rPr>
        <w:rFonts w:ascii="Arial" w:hAnsi="Arial"/>
        <w:sz w:val="18"/>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suppressAutoHyphens w:val="1"/>
      <w:pBdr>
        <w:bottom w:val="single" w:sz="8" w:space="3" w:color="6B217E"/>
      </w:pBdr>
    </w:pPr>
    <w:r>
      <w:rPr>
        <w:rFonts w:ascii="Arial" w:hAnsi="Arial"/>
        <w:b/>
        <w:color w:val="441457"/>
        <w:sz w:val="17"/>
      </w:rPr>
      <w:t>THE AMC APE CAGE EVIDENCE REPORT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autoHyphenation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59" w:lineRule="auto" w:after="120"/>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60" w:after="140"/>
      <w:outlineLvl w:val="0"/>
    </w:pPr>
    <w:rPr>
      <w:rFonts w:asciiTheme="majorHAnsi" w:eastAsiaTheme="majorEastAsia" w:hAnsiTheme="majorHAnsi" w:cstheme="majorBidi" w:ascii="Arial Black" w:hAnsi="Arial Black"/>
      <w:b/>
      <w:bCs/>
      <w:color w:val="44145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80" w:line="240" w:lineRule="auto"/>
      <w:contextualSpacing/>
    </w:pPr>
    <w:rPr>
      <w:rFonts w:asciiTheme="majorHAnsi" w:eastAsiaTheme="majorEastAsia" w:hAnsiTheme="majorHAnsi" w:cstheme="majorBidi" w:ascii="Arial Black" w:hAnsi="Arial Black"/>
      <w:b/>
      <w:color w:val="441457"/>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peCagePunch">
    <w:name w:val="Ape Cage Punch"/>
    <w:basedOn w:val="Normal"/>
    <w:pPr>
      <w:keepLines/>
      <w:spacing w:before="140" w:after="160"/>
      <w:ind w:left="259" w:right="173"/>
    </w:pPr>
    <w:rPr>
      <w:rFonts w:ascii="Arial" w:hAnsi="Arial"/>
      <w:b/>
      <w:i/>
      <w:color w:val="2C2C2C"/>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AMC: Apparently, T Plus Zero Audited the Debt Vessel, Declared Victory and Forgot to Open the Damn Vault</dc:title>
  <dc:subject>AMC Ape Cage Evidence Report on Robinhood AMC Stock Tokens</dc:subject>
  <dc:creator>The AMC Ape Cage</dc:creator>
  <cp:keywords>AMC, Robinhood, Stock Tokens, T Plus Zero, auditability, collateral, custody</cp:keywords>
  <dc:description>Rewritten for evidentiary discipline, continuity, sarcasm and Security James voice.</dc:description>
  <cp:lastModifiedBy/>
  <cp:revision>1</cp:revision>
  <dcterms:created xsi:type="dcterms:W3CDTF">2013-12-23T23:15:00Z</dcterms:created>
  <dcterms:modified xsi:type="dcterms:W3CDTF">2013-12-23T23:15:00Z</dcterms:modified>
  <cp:category/>
</cp:coreProperties>
</file>