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Calibri" w:hAnsi="Calibri"/>
          <w:b/>
          <w:color w:val="2E74B5"/>
          <w:sz w:val="22"/>
        </w:rPr>
        <w:t>THE AMC APE CAGE</w:t>
      </w:r>
    </w:p>
    <w:tbl>
      <w:tblPr>
        <w:tblW w:type="dxa" w:w="9360"/>
        <w:jc w:val="center"/>
        <w:tblLayout w:type="fixed"/>
        <w:tblLook w:firstColumn="1" w:firstRow="1" w:lastColumn="0" w:lastRow="0" w:noHBand="0" w:noVBand="1" w:val="04A0"/>
      </w:tblPr>
      <w:tblGrid>
        <w:gridCol w:w="9360"/>
      </w:tblGrid>
      <w:tr>
        <w:tc>
          <w:tcPr>
            <w:tcW w:type="dxa" w:w="9360"/>
            <w:tcMar>
              <w:top w:w="520" w:type="dxa"/>
              <w:start w:w="420" w:type="dxa"/>
              <w:bottom w:w="520" w:type="dxa"/>
              <w:end w:w="420" w:type="dxa"/>
            </w:tcMar>
            <w:shd w:fill="17365D"/>
            <w:vAlign w:val="center"/>
          </w:tcPr>
          <w:p>
            <w:pPr>
              <w:spacing w:after="240"/>
              <w:jc w:val="left"/>
            </w:pPr>
            <w:r>
              <w:rPr>
                <w:rFonts w:ascii="Calibri" w:hAnsi="Calibri"/>
                <w:b/>
                <w:color w:val="5B9BD5"/>
                <w:sz w:val="22"/>
              </w:rPr>
              <w:t>REPORT 1 OF 2</w:t>
            </w:r>
          </w:p>
          <w:p>
            <w:pPr>
              <w:spacing w:after="320"/>
            </w:pPr>
            <w:r>
              <w:rPr>
                <w:rFonts w:ascii="Calibri Light" w:hAnsi="Calibri Light"/>
                <w:b/>
                <w:color w:val="FFFFFF"/>
                <w:sz w:val="54"/>
              </w:rPr>
              <w:t>AMC June 2, 2021 Market-Event Investigation</w:t>
            </w:r>
          </w:p>
          <w:p>
            <w:r>
              <w:rPr>
                <w:rFonts w:ascii="Calibri" w:hAnsi="Calibri"/>
                <w:color w:val="DCE6F1"/>
                <w:sz w:val="26"/>
              </w:rPr>
              <w:t>Reconstructed liquidity withdrawal, options concentration, settlement stress, and the Citadel–BNY Mellon attribution test</w:t>
            </w:r>
          </w:p>
        </w:tc>
      </w:tr>
    </w:tbl>
    <w:p/>
    <w:p>
      <w:pPr>
        <w:spacing w:before="240" w:after="120"/>
      </w:pPr>
      <w:r>
        <w:rPr>
          <w:rFonts w:ascii="Calibri" w:hAnsi="Calibri"/>
          <w:b/>
          <w:color w:val="A61B1B"/>
          <w:sz w:val="21"/>
        </w:rPr>
        <w:t>STATUS: INVESTIGATIVE ACCUSATION • EVIDENCE-BOUND</w:t>
      </w:r>
    </w:p>
    <w:p>
      <w:pPr>
        <w:spacing w:after="60"/>
      </w:pPr>
      <w:r>
        <w:rPr>
          <w:b/>
        </w:rPr>
        <w:t xml:space="preserve">Prepared for: </w:t>
      </w:r>
      <w:r>
        <w:t>James Allen / The AMC Ape Cage</w:t>
      </w:r>
    </w:p>
    <w:p>
      <w:pPr>
        <w:spacing w:after="60"/>
      </w:pPr>
      <w:r>
        <w:rPr>
          <w:b/>
        </w:rPr>
        <w:t xml:space="preserve">As of: </w:t>
      </w:r>
      <w:r>
        <w:t>August 10, 2026</w:t>
      </w:r>
    </w:p>
    <w:p>
      <w:pPr>
        <w:spacing w:after="60"/>
      </w:pPr>
      <w:r>
        <w:rPr>
          <w:b/>
        </w:rPr>
        <w:t xml:space="preserve">Primary subjects named: </w:t>
      </w:r>
      <w:r>
        <w:t>Citadel Securities LLC and The Bank of New York Mellon</w:t>
      </w:r>
    </w:p>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FF4CC"/>
            <w:tcBorders>
              <w:left w:val="single" w:sz="24" w:color="B8860B"/>
            </w:tcBorders>
          </w:tcPr>
          <w:p>
            <w:pPr>
              <w:spacing w:after="80"/>
            </w:pPr>
            <w:r>
              <w:rPr>
                <w:b/>
                <w:color w:val="B8860B"/>
                <w:sz w:val="20"/>
              </w:rPr>
              <w:t>PUBLICATION NOTICE</w:t>
            </w:r>
          </w:p>
          <w:p>
            <w:pPr>
              <w:spacing w:after="0"/>
            </w:pPr>
            <w:r>
              <w:t>This report presents documented facts, calculations, analytical inferences, accusations for investigation, and unresolved questions as separate evidence classes. It is not a judicial or regulatory finding of misconduct. The named entities should be given a fair opportunity to respond to the specific allegations and record demands before publication.</w:t>
            </w:r>
          </w:p>
        </w:tc>
      </w:tr>
    </w:tbl>
    <w:p>
      <w:pPr>
        <w:spacing w:after="0"/>
      </w:pPr>
    </w:p>
    <w:p>
      <w:r>
        <w:br w:type="page"/>
      </w:r>
    </w:p>
    <w:p>
      <w:pPr>
        <w:pStyle w:val="Heading1"/>
      </w:pPr>
      <w:r>
        <w:t>Executive conclusion</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BE9E7"/>
            <w:tcBorders>
              <w:left w:val="single" w:sz="24" w:color="A61B1B"/>
            </w:tcBorders>
          </w:tcPr>
          <w:p>
            <w:pPr>
              <w:spacing w:after="80"/>
            </w:pPr>
            <w:r>
              <w:rPr>
                <w:b/>
                <w:color w:val="A61B1B"/>
                <w:sz w:val="20"/>
              </w:rPr>
              <w:t>ACCUSATION ADVANCED FOR INVESTIGATION</w:t>
            </w:r>
          </w:p>
          <w:p>
            <w:pPr>
              <w:spacing w:after="0"/>
            </w:pPr>
            <w:r>
              <w:t>James Allen and The AMC Ape Cage accuse Citadel Securities of participating in, facilitating, or benefiting from a coordinated liquidity-withdrawal and hedge/settlement sequence surrounding AMC’s June 2, 2021 event. They further accuse BNY Mellon, through its custody, execution, settlement, and securities-lending infrastructure, of supplying, recalling, lending, or settling AMC shares connected to that sequence. The current evidence supports a formal, actor-specific investigation of both entities. It does not yet establish either entity’s event-level order IDs, beneficial-owner chain, prohibited intent, or legal liability.</w:t>
            </w:r>
          </w:p>
        </w:tc>
      </w:tr>
    </w:tbl>
    <w:p>
      <w:pPr>
        <w:spacing w:after="0"/>
      </w:pPr>
    </w:p>
    <w:p>
      <w:r>
        <w:t>The market mechanics are no longer a vague suspicion. Ten independently rehashed June 2 venue files yielded 19,560,345 normalized market-by-order records. A frozen reconstruction reproduced 103 displayed-bid chains exactly. Across two targeted episodes, the maximum displayed size canceled was 863,079 shares; none of those shares executed within the frozen chains and none of those chains was replaced. One independent episode passed every strict v1.3 screening gate. These are documented mechanics—not proof of who controlled the orders or why.</w:t>
      </w:r>
    </w:p>
    <w:p>
      <w:r>
        <w:t>Citadel’s connection is substantial but incomplete. Official NYSE records identify Citadel Securities as AMC’s equity Designated Market Maker before and after June 2021. Archived NYSE Arca Options records identify Citadel for the AMC options class before and 95 days after June 2. Citadel’s own June 2021 Rule 605 file reports 3,111,546 covered AMC orders representing 1,611,170,621 shares, including 954,232,368 shares executed at Citadel. Those records prove assignment, access, and enormous monthly AMC execution involvement. They do not link Citadel to the 103 chains or to a particular short, option, locate, or fail.</w:t>
      </w:r>
    </w:p>
    <w:p>
      <w:r>
        <w:t>BNY Mellon’s present connection is narrower. Court-filed records place BNY Mellon in the custody/transaction-reporting chain for an ACERS AMC position, and BNY had an active securities-lending relationship with ACERS. ACERS sold AMC on May 27 and June 2 through a CIM-managed account. BNY securities-lending forms from other dates list Citadel entities as approved borrowers. This creates a concrete custody/loan/execution test, but it does not prove that ACERS’s AMC shares were loaned, that Citadel borrowed them, or that those small sales caused the broader market event.</w:t>
      </w:r>
    </w:p>
    <w:tbl>
      <w:tblPr>
        <w:tblStyle w:val="TableGrid"/>
        <w:tblW w:type="dxa" w:w="9360"/>
        <w:jc w:val="center"/>
        <w:tblLayout w:type="fixed"/>
        <w:tblLook w:firstColumn="1" w:firstRow="1" w:lastColumn="0" w:lastRow="0" w:noHBand="0" w:noVBand="1" w:val="04A0"/>
      </w:tblPr>
      <w:tblGrid>
        <w:gridCol w:w="2600"/>
        <w:gridCol w:w="4760"/>
        <w:gridCol w:w="2000"/>
      </w:tblGrid>
      <w:tr>
        <w:trPr>
          <w:trHeight w:hRule="atLeast"/>
          <w:tblHeader w:val="true"/>
        </w:trPr>
        <w:tc>
          <w:tcPr>
            <w:tcW w:type="dxa" w:w="2600"/>
            <w:shd w:fill="F2F4F7"/>
            <w:vAlign w:val="center"/>
            <w:tcMar>
              <w:top w:w="80" w:type="dxa"/>
              <w:start w:w="120" w:type="dxa"/>
              <w:bottom w:w="80" w:type="dxa"/>
              <w:end w:w="120" w:type="dxa"/>
            </w:tcMar>
          </w:tcPr>
          <w:p>
            <w:pPr>
              <w:spacing w:after="0"/>
            </w:pPr>
            <w:r>
              <w:rPr>
                <w:b/>
                <w:color w:val="17365D"/>
                <w:sz w:val="18"/>
              </w:rPr>
              <w:t>Question</w:t>
            </w:r>
          </w:p>
        </w:tc>
        <w:tc>
          <w:tcPr>
            <w:tcW w:type="dxa" w:w="4760"/>
            <w:shd w:fill="F2F4F7"/>
            <w:vAlign w:val="center"/>
            <w:tcMar>
              <w:top w:w="80" w:type="dxa"/>
              <w:start w:w="120" w:type="dxa"/>
              <w:bottom w:w="80" w:type="dxa"/>
              <w:end w:w="120" w:type="dxa"/>
            </w:tcMar>
          </w:tcPr>
          <w:p>
            <w:pPr>
              <w:spacing w:after="0"/>
            </w:pPr>
            <w:r>
              <w:rPr>
                <w:b/>
                <w:color w:val="17365D"/>
                <w:sz w:val="18"/>
              </w:rPr>
              <w:t>Current answer</w:t>
            </w:r>
          </w:p>
        </w:tc>
        <w:tc>
          <w:tcPr>
            <w:tcW w:type="dxa" w:w="2000"/>
            <w:shd w:fill="F2F4F7"/>
            <w:vAlign w:val="center"/>
            <w:tcMar>
              <w:top w:w="80" w:type="dxa"/>
              <w:start w:w="120" w:type="dxa"/>
              <w:bottom w:w="80" w:type="dxa"/>
              <w:end w:w="120" w:type="dxa"/>
            </w:tcMar>
          </w:tcPr>
          <w:p>
            <w:pPr>
              <w:spacing w:after="0"/>
            </w:pPr>
            <w:r>
              <w:rPr>
                <w:b/>
                <w:color w:val="17365D"/>
                <w:sz w:val="18"/>
              </w:rPr>
              <w:t>Evidence grade</w:t>
            </w:r>
          </w:p>
        </w:tc>
      </w:tr>
      <w:tr>
        <w:trPr>
          <w:cantSplit/>
        </w:trPr>
        <w:tc>
          <w:tcPr>
            <w:tcW w:type="dxa" w:w="2600"/>
            <w:vAlign w:val="top"/>
            <w:tcMar>
              <w:top w:w="80" w:type="dxa"/>
              <w:start w:w="120" w:type="dxa"/>
              <w:bottom w:w="80" w:type="dxa"/>
              <w:end w:w="120" w:type="dxa"/>
            </w:tcMar>
          </w:tcPr>
          <w:p>
            <w:pPr>
              <w:spacing w:after="0"/>
            </w:pPr>
            <w:r>
              <w:rPr>
                <w:sz w:val="18"/>
              </w:rPr>
              <w:t>Did a rapid zero-execution displayed-bid withdrawal occur?</w:t>
            </w:r>
          </w:p>
        </w:tc>
        <w:tc>
          <w:tcPr>
            <w:tcW w:type="dxa" w:w="4760"/>
            <w:vAlign w:val="top"/>
            <w:tcMar>
              <w:top w:w="80" w:type="dxa"/>
              <w:start w:w="120" w:type="dxa"/>
              <w:bottom w:w="80" w:type="dxa"/>
              <w:end w:w="120" w:type="dxa"/>
            </w:tcMar>
          </w:tcPr>
          <w:p>
            <w:pPr>
              <w:spacing w:after="0"/>
            </w:pPr>
            <w:r>
              <w:rPr>
                <w:sz w:val="18"/>
              </w:rPr>
              <w:t>Yes; reproduced across frozen chains.</w:t>
            </w:r>
          </w:p>
        </w:tc>
        <w:tc>
          <w:tcPr>
            <w:tcW w:type="dxa" w:w="2000"/>
            <w:vAlign w:val="top"/>
            <w:tcMar>
              <w:top w:w="80" w:type="dxa"/>
              <w:start w:w="120" w:type="dxa"/>
              <w:bottom w:w="80" w:type="dxa"/>
              <w:end w:w="120" w:type="dxa"/>
            </w:tcMar>
          </w:tcPr>
          <w:p>
            <w:pPr>
              <w:spacing w:after="0"/>
            </w:pPr>
            <w:r>
              <w:rPr>
                <w:sz w:val="18"/>
              </w:rPr>
              <w:t>Strong / direct</w:t>
            </w:r>
          </w:p>
        </w:tc>
      </w:tr>
      <w:tr>
        <w:trPr>
          <w:cantSplit/>
        </w:trPr>
        <w:tc>
          <w:tcPr>
            <w:tcW w:type="dxa" w:w="2600"/>
            <w:vAlign w:val="top"/>
            <w:tcMar>
              <w:top w:w="80" w:type="dxa"/>
              <w:start w:w="120" w:type="dxa"/>
              <w:bottom w:w="80" w:type="dxa"/>
              <w:end w:w="120" w:type="dxa"/>
            </w:tcMar>
          </w:tcPr>
          <w:p>
            <w:pPr>
              <w:spacing w:after="0"/>
            </w:pPr>
            <w:r>
              <w:rPr>
                <w:sz w:val="18"/>
              </w:rPr>
              <w:t>Did one episode pass the global strict screen?</w:t>
            </w:r>
          </w:p>
        </w:tc>
        <w:tc>
          <w:tcPr>
            <w:tcW w:type="dxa" w:w="4760"/>
            <w:vAlign w:val="top"/>
            <w:tcMar>
              <w:top w:w="80" w:type="dxa"/>
              <w:start w:w="120" w:type="dxa"/>
              <w:bottom w:w="80" w:type="dxa"/>
              <w:end w:w="120" w:type="dxa"/>
            </w:tcMar>
          </w:tcPr>
          <w:p>
            <w:pPr>
              <w:spacing w:after="0"/>
            </w:pPr>
            <w:r>
              <w:rPr>
                <w:sz w:val="18"/>
              </w:rPr>
              <w:t>Yes; 29 chains, 390,500 shares, 3 venues, 3.895 seconds.</w:t>
            </w:r>
          </w:p>
        </w:tc>
        <w:tc>
          <w:tcPr>
            <w:tcW w:type="dxa" w:w="2000"/>
            <w:vAlign w:val="top"/>
            <w:tcMar>
              <w:top w:w="80" w:type="dxa"/>
              <w:start w:w="120" w:type="dxa"/>
              <w:bottom w:w="80" w:type="dxa"/>
              <w:end w:w="120" w:type="dxa"/>
            </w:tcMar>
          </w:tcPr>
          <w:p>
            <w:pPr>
              <w:spacing w:after="0"/>
            </w:pPr>
            <w:r>
              <w:rPr>
                <w:sz w:val="18"/>
              </w:rPr>
              <w:t>Strong / direct + calculated</w:t>
            </w:r>
          </w:p>
        </w:tc>
      </w:tr>
      <w:tr>
        <w:trPr>
          <w:cantSplit/>
        </w:trPr>
        <w:tc>
          <w:tcPr>
            <w:tcW w:type="dxa" w:w="2600"/>
            <w:vAlign w:val="top"/>
            <w:tcMar>
              <w:top w:w="80" w:type="dxa"/>
              <w:start w:w="120" w:type="dxa"/>
              <w:bottom w:w="80" w:type="dxa"/>
              <w:end w:w="120" w:type="dxa"/>
            </w:tcMar>
          </w:tcPr>
          <w:p>
            <w:pPr>
              <w:spacing w:after="0"/>
            </w:pPr>
            <w:r>
              <w:rPr>
                <w:sz w:val="18"/>
              </w:rPr>
              <w:t>Was Citadel deeply involved in AMC during June?</w:t>
            </w:r>
          </w:p>
        </w:tc>
        <w:tc>
          <w:tcPr>
            <w:tcW w:type="dxa" w:w="4760"/>
            <w:vAlign w:val="top"/>
            <w:tcMar>
              <w:top w:w="80" w:type="dxa"/>
              <w:start w:w="120" w:type="dxa"/>
              <w:bottom w:w="80" w:type="dxa"/>
              <w:end w:w="120" w:type="dxa"/>
            </w:tcMar>
          </w:tcPr>
          <w:p>
            <w:pPr>
              <w:spacing w:after="0"/>
            </w:pPr>
            <w:r>
              <w:rPr>
                <w:sz w:val="18"/>
              </w:rPr>
              <w:t>Yes; official assignments plus large AMC-specific Rule 605 totals.</w:t>
            </w:r>
          </w:p>
        </w:tc>
        <w:tc>
          <w:tcPr>
            <w:tcW w:type="dxa" w:w="2000"/>
            <w:vAlign w:val="top"/>
            <w:tcMar>
              <w:top w:w="80" w:type="dxa"/>
              <w:start w:w="120" w:type="dxa"/>
              <w:bottom w:w="80" w:type="dxa"/>
              <w:end w:w="120" w:type="dxa"/>
            </w:tcMar>
          </w:tcPr>
          <w:p>
            <w:pPr>
              <w:spacing w:after="0"/>
            </w:pPr>
            <w:r>
              <w:rPr>
                <w:sz w:val="18"/>
              </w:rPr>
              <w:t>Strong for proximity and capacity</w:t>
            </w:r>
          </w:p>
        </w:tc>
      </w:tr>
      <w:tr>
        <w:trPr>
          <w:cantSplit/>
        </w:trPr>
        <w:tc>
          <w:tcPr>
            <w:tcW w:type="dxa" w:w="2600"/>
            <w:vAlign w:val="top"/>
            <w:tcMar>
              <w:top w:w="80" w:type="dxa"/>
              <w:start w:w="120" w:type="dxa"/>
              <w:bottom w:w="80" w:type="dxa"/>
              <w:end w:w="120" w:type="dxa"/>
            </w:tcMar>
          </w:tcPr>
          <w:p>
            <w:pPr>
              <w:spacing w:after="0"/>
            </w:pPr>
            <w:r>
              <w:rPr>
                <w:sz w:val="18"/>
              </w:rPr>
              <w:t>Was Citadel the participant behind the strict episode?</w:t>
            </w:r>
          </w:p>
        </w:tc>
        <w:tc>
          <w:tcPr>
            <w:tcW w:type="dxa" w:w="4760"/>
            <w:vAlign w:val="top"/>
            <w:tcMar>
              <w:top w:w="80" w:type="dxa"/>
              <w:start w:w="120" w:type="dxa"/>
              <w:bottom w:w="80" w:type="dxa"/>
              <w:end w:w="120" w:type="dxa"/>
            </w:tcMar>
          </w:tcPr>
          <w:p>
            <w:pPr>
              <w:spacing w:after="0"/>
            </w:pPr>
            <w:r>
              <w:rPr>
                <w:sz w:val="18"/>
              </w:rPr>
              <w:t>Not established by public MBO or monthly Rule 605 data.</w:t>
            </w:r>
          </w:p>
        </w:tc>
        <w:tc>
          <w:tcPr>
            <w:tcW w:type="dxa" w:w="2000"/>
            <w:vAlign w:val="top"/>
            <w:tcMar>
              <w:top w:w="80" w:type="dxa"/>
              <w:start w:w="120" w:type="dxa"/>
              <w:bottom w:w="80" w:type="dxa"/>
              <w:end w:w="120" w:type="dxa"/>
            </w:tcMar>
          </w:tcPr>
          <w:p>
            <w:pPr>
              <w:spacing w:after="0"/>
            </w:pPr>
            <w:r>
              <w:rPr>
                <w:sz w:val="18"/>
              </w:rPr>
              <w:t>Unresolved</w:t>
            </w:r>
          </w:p>
        </w:tc>
      </w:tr>
      <w:tr>
        <w:trPr>
          <w:cantSplit/>
        </w:trPr>
        <w:tc>
          <w:tcPr>
            <w:tcW w:type="dxa" w:w="2600"/>
            <w:vAlign w:val="top"/>
            <w:tcMar>
              <w:top w:w="80" w:type="dxa"/>
              <w:start w:w="120" w:type="dxa"/>
              <w:bottom w:w="80" w:type="dxa"/>
              <w:end w:w="120" w:type="dxa"/>
            </w:tcMar>
          </w:tcPr>
          <w:p>
            <w:pPr>
              <w:spacing w:after="0"/>
            </w:pPr>
            <w:r>
              <w:rPr>
                <w:sz w:val="18"/>
              </w:rPr>
              <w:t>Did BNY Mellon lend, recall, execute, or settle shares tied to the event?</w:t>
            </w:r>
          </w:p>
        </w:tc>
        <w:tc>
          <w:tcPr>
            <w:tcW w:type="dxa" w:w="4760"/>
            <w:vAlign w:val="top"/>
            <w:tcMar>
              <w:top w:w="80" w:type="dxa"/>
              <w:start w:w="120" w:type="dxa"/>
              <w:bottom w:w="80" w:type="dxa"/>
              <w:end w:w="120" w:type="dxa"/>
            </w:tcMar>
          </w:tcPr>
          <w:p>
            <w:pPr>
              <w:spacing w:after="0"/>
            </w:pPr>
            <w:r>
              <w:rPr>
                <w:sz w:val="18"/>
              </w:rPr>
              <w:t>A testable pathway exists; the AMC-specific ledger is not public.</w:t>
            </w:r>
          </w:p>
        </w:tc>
        <w:tc>
          <w:tcPr>
            <w:tcW w:type="dxa" w:w="2000"/>
            <w:vAlign w:val="top"/>
            <w:tcMar>
              <w:top w:w="80" w:type="dxa"/>
              <w:start w:w="120" w:type="dxa"/>
              <w:bottom w:w="80" w:type="dxa"/>
              <w:end w:w="120" w:type="dxa"/>
            </w:tcMar>
          </w:tcPr>
          <w:p>
            <w:pPr>
              <w:spacing w:after="0"/>
            </w:pPr>
            <w:r>
              <w:rPr>
                <w:sz w:val="18"/>
              </w:rPr>
              <w:t>Unresolved / controlled records</w:t>
            </w:r>
          </w:p>
        </w:tc>
      </w:tr>
      <w:tr>
        <w:trPr>
          <w:cantSplit/>
        </w:trPr>
        <w:tc>
          <w:tcPr>
            <w:tcW w:type="dxa" w:w="2600"/>
            <w:vAlign w:val="top"/>
            <w:tcMar>
              <w:top w:w="80" w:type="dxa"/>
              <w:start w:w="120" w:type="dxa"/>
              <w:bottom w:w="80" w:type="dxa"/>
              <w:end w:w="120" w:type="dxa"/>
            </w:tcMar>
          </w:tcPr>
          <w:p>
            <w:pPr>
              <w:spacing w:after="0"/>
            </w:pPr>
            <w:r>
              <w:rPr>
                <w:sz w:val="18"/>
              </w:rPr>
              <w:t>Is manipulative intent proved?</w:t>
            </w:r>
          </w:p>
        </w:tc>
        <w:tc>
          <w:tcPr>
            <w:tcW w:type="dxa" w:w="4760"/>
            <w:vAlign w:val="top"/>
            <w:tcMar>
              <w:top w:w="80" w:type="dxa"/>
              <w:start w:w="120" w:type="dxa"/>
              <w:bottom w:w="80" w:type="dxa"/>
              <w:end w:w="120" w:type="dxa"/>
            </w:tcMar>
          </w:tcPr>
          <w:p>
            <w:pPr>
              <w:spacing w:after="0"/>
            </w:pPr>
            <w:r>
              <w:rPr>
                <w:sz w:val="18"/>
              </w:rPr>
              <w:t>No. Identity, false-liquidity purpose, related-side benefit, and communications are missing.</w:t>
            </w:r>
          </w:p>
        </w:tc>
        <w:tc>
          <w:tcPr>
            <w:tcW w:type="dxa" w:w="2000"/>
            <w:vAlign w:val="top"/>
            <w:tcMar>
              <w:top w:w="80" w:type="dxa"/>
              <w:start w:w="120" w:type="dxa"/>
              <w:bottom w:w="80" w:type="dxa"/>
              <w:end w:w="120" w:type="dxa"/>
            </w:tcMar>
          </w:tcPr>
          <w:p>
            <w:pPr>
              <w:spacing w:after="0"/>
            </w:pPr>
            <w:r>
              <w:rPr>
                <w:sz w:val="18"/>
              </w:rPr>
              <w:t>Unresolved</w:t>
            </w:r>
          </w:p>
        </w:tc>
      </w:tr>
    </w:tbl>
    <w:p>
      <w:pPr>
        <w:spacing w:after="0"/>
      </w:pPr>
    </w:p>
    <w:p>
      <w:pPr>
        <w:pStyle w:val="Heading1"/>
      </w:pPr>
      <w:r>
        <w:t>1. Evidentiary rules</w:t>
      </w:r>
    </w:p>
    <w:p>
      <w:r>
        <w:t>This report uses five labels. A documented fact appears in a source or reproducible dataset. A calculation applies disclosed arithmetic to documented inputs. An analytical inference is a reasoned connection that remains defeasible. An accusation is the reporting party’s claim to be tested. An unresolved question identifies the missing record that controls the answer.</w:t>
      </w:r>
    </w:p>
    <w:p>
      <w:pPr>
        <w:pStyle w:val="ListBullet"/>
      </w:pPr>
      <w:r>
        <w:t>No monthly, aggregate, or venue-level statistic is converted into account-level attribution.</w:t>
      </w:r>
    </w:p>
    <w:p>
      <w:pPr>
        <w:pStyle w:val="ListBullet"/>
      </w:pPr>
      <w:r>
        <w:t>No cancellation is labeled spoofing merely because it did not execute.</w:t>
      </w:r>
    </w:p>
    <w:p>
      <w:pPr>
        <w:pStyle w:val="ListBullet"/>
      </w:pPr>
      <w:r>
        <w:t>Options prints are not assigned customer direction where OPRA did not report aggressor side.</w:t>
      </w:r>
    </w:p>
    <w:p>
      <w:pPr>
        <w:pStyle w:val="ListBullet"/>
      </w:pPr>
      <w:r>
        <w:t>Fails to deliver are not added across dates and are not presumed to arise from naked shorting.</w:t>
      </w:r>
    </w:p>
    <w:p>
      <w:pPr>
        <w:pStyle w:val="ListBullet"/>
      </w:pPr>
      <w:r>
        <w:t>The same shares can trade repeatedly; Rule 605, FINRA TRF/ADF, and lit-feed populations can overlap and are not summed.</w:t>
      </w:r>
    </w:p>
    <w:p>
      <w:pPr>
        <w:pStyle w:val="Heading1"/>
      </w:pPr>
      <w:r>
        <w:t>2. Fixed event chronology</w:t>
      </w:r>
    </w:p>
    <w:tbl>
      <w:tblPr>
        <w:tblStyle w:val="TableGrid"/>
        <w:tblW w:type="dxa" w:w="9360"/>
        <w:jc w:val="center"/>
        <w:tblLayout w:type="fixed"/>
        <w:tblLook w:firstColumn="1" w:firstRow="1" w:lastColumn="0" w:lastRow="0" w:noHBand="0" w:noVBand="1" w:val="04A0"/>
      </w:tblPr>
      <w:tblGrid>
        <w:gridCol w:w="1200"/>
        <w:gridCol w:w="3900"/>
        <w:gridCol w:w="4260"/>
      </w:tblGrid>
      <w:tr>
        <w:trPr>
          <w:trHeight w:hRule="atLeast"/>
          <w:tblHeader w:val="true"/>
        </w:trPr>
        <w:tc>
          <w:tcPr>
            <w:tcW w:type="dxa" w:w="1200"/>
            <w:shd w:fill="F2F4F7"/>
            <w:vAlign w:val="center"/>
            <w:tcMar>
              <w:top w:w="80" w:type="dxa"/>
              <w:start w:w="120" w:type="dxa"/>
              <w:bottom w:w="80" w:type="dxa"/>
              <w:end w:w="120" w:type="dxa"/>
            </w:tcMar>
          </w:tcPr>
          <w:p>
            <w:pPr>
              <w:spacing w:after="0"/>
            </w:pPr>
            <w:r>
              <w:rPr>
                <w:b/>
                <w:color w:val="17365D"/>
                <w:sz w:val="18"/>
              </w:rPr>
              <w:t>Date</w:t>
            </w:r>
          </w:p>
        </w:tc>
        <w:tc>
          <w:tcPr>
            <w:tcW w:type="dxa" w:w="3900"/>
            <w:shd w:fill="F2F4F7"/>
            <w:vAlign w:val="center"/>
            <w:tcMar>
              <w:top w:w="80" w:type="dxa"/>
              <w:start w:w="120" w:type="dxa"/>
              <w:bottom w:w="80" w:type="dxa"/>
              <w:end w:w="120" w:type="dxa"/>
            </w:tcMar>
          </w:tcPr>
          <w:p>
            <w:pPr>
              <w:spacing w:after="0"/>
            </w:pPr>
            <w:r>
              <w:rPr>
                <w:b/>
                <w:color w:val="17365D"/>
                <w:sz w:val="18"/>
              </w:rPr>
              <w:t>Documented event</w:t>
            </w:r>
          </w:p>
        </w:tc>
        <w:tc>
          <w:tcPr>
            <w:tcW w:type="dxa" w:w="4260"/>
            <w:shd w:fill="F2F4F7"/>
            <w:vAlign w:val="center"/>
            <w:tcMar>
              <w:top w:w="80" w:type="dxa"/>
              <w:start w:w="120" w:type="dxa"/>
              <w:bottom w:w="80" w:type="dxa"/>
              <w:end w:w="120" w:type="dxa"/>
            </w:tcMar>
          </w:tcPr>
          <w:p>
            <w:pPr>
              <w:spacing w:after="0"/>
            </w:pPr>
            <w:r>
              <w:rPr>
                <w:b/>
                <w:color w:val="17365D"/>
                <w:sz w:val="18"/>
              </w:rPr>
              <w:t>Investigative meaning</w:t>
            </w:r>
          </w:p>
        </w:tc>
      </w:tr>
      <w:tr>
        <w:trPr>
          <w:cantSplit/>
        </w:trPr>
        <w:tc>
          <w:tcPr>
            <w:tcW w:type="dxa" w:w="1200"/>
            <w:vAlign w:val="top"/>
            <w:tcMar>
              <w:top w:w="80" w:type="dxa"/>
              <w:start w:w="120" w:type="dxa"/>
              <w:bottom w:w="80" w:type="dxa"/>
              <w:end w:w="120" w:type="dxa"/>
            </w:tcMar>
          </w:tcPr>
          <w:p>
            <w:pPr>
              <w:spacing w:after="0"/>
            </w:pPr>
            <w:r>
              <w:rPr>
                <w:sz w:val="18"/>
              </w:rPr>
              <w:t>May 28</w:t>
            </w:r>
          </w:p>
        </w:tc>
        <w:tc>
          <w:tcPr>
            <w:tcW w:type="dxa" w:w="3900"/>
            <w:vAlign w:val="top"/>
            <w:tcMar>
              <w:top w:w="80" w:type="dxa"/>
              <w:start w:w="120" w:type="dxa"/>
              <w:bottom w:w="80" w:type="dxa"/>
              <w:end w:w="120" w:type="dxa"/>
            </w:tcMar>
          </w:tcPr>
          <w:p>
            <w:pPr>
              <w:spacing w:after="0"/>
            </w:pPr>
            <w:r>
              <w:rPr>
                <w:sz w:val="18"/>
              </w:rPr>
              <w:t>102,303,320 reported shares short.</w:t>
            </w:r>
          </w:p>
        </w:tc>
        <w:tc>
          <w:tcPr>
            <w:tcW w:type="dxa" w:w="4260"/>
            <w:vAlign w:val="top"/>
            <w:tcMar>
              <w:top w:w="80" w:type="dxa"/>
              <w:start w:w="120" w:type="dxa"/>
              <w:bottom w:w="80" w:type="dxa"/>
              <w:end w:w="120" w:type="dxa"/>
            </w:tcMar>
          </w:tcPr>
          <w:p>
            <w:pPr>
              <w:spacing w:after="0"/>
            </w:pPr>
            <w:r>
              <w:rPr>
                <w:sz w:val="18"/>
              </w:rPr>
              <w:t>A large reported short position remained immediately before the run.</w:t>
            </w:r>
          </w:p>
        </w:tc>
      </w:tr>
      <w:tr>
        <w:trPr>
          <w:cantSplit/>
        </w:trPr>
        <w:tc>
          <w:tcPr>
            <w:tcW w:type="dxa" w:w="1200"/>
            <w:vAlign w:val="top"/>
            <w:tcMar>
              <w:top w:w="80" w:type="dxa"/>
              <w:start w:w="120" w:type="dxa"/>
              <w:bottom w:w="80" w:type="dxa"/>
              <w:end w:w="120" w:type="dxa"/>
            </w:tcMar>
          </w:tcPr>
          <w:p>
            <w:pPr>
              <w:spacing w:after="0"/>
            </w:pPr>
            <w:r>
              <w:rPr>
                <w:sz w:val="18"/>
              </w:rPr>
              <w:t>June 1</w:t>
            </w:r>
          </w:p>
        </w:tc>
        <w:tc>
          <w:tcPr>
            <w:tcW w:type="dxa" w:w="3900"/>
            <w:vAlign w:val="top"/>
            <w:tcMar>
              <w:top w:w="80" w:type="dxa"/>
              <w:start w:w="120" w:type="dxa"/>
              <w:bottom w:w="80" w:type="dxa"/>
              <w:end w:w="120" w:type="dxa"/>
            </w:tcMar>
          </w:tcPr>
          <w:p>
            <w:pPr>
              <w:spacing w:after="0"/>
            </w:pPr>
            <w:r>
              <w:rPr>
                <w:sz w:val="18"/>
              </w:rPr>
              <w:t>AMC issued 8.5 million shares to Mudrick for $230.5 million.</w:t>
            </w:r>
          </w:p>
        </w:tc>
        <w:tc>
          <w:tcPr>
            <w:tcW w:type="dxa" w:w="4260"/>
            <w:vAlign w:val="top"/>
            <w:tcMar>
              <w:top w:w="80" w:type="dxa"/>
              <w:start w:w="120" w:type="dxa"/>
              <w:bottom w:w="80" w:type="dxa"/>
              <w:end w:w="120" w:type="dxa"/>
            </w:tcMar>
          </w:tcPr>
          <w:p>
            <w:pPr>
              <w:spacing w:after="0"/>
            </w:pPr>
            <w:r>
              <w:rPr>
                <w:sz w:val="18"/>
              </w:rPr>
              <w:t>Deliverable supply entered the market; resale and lending path require trade records.</w:t>
            </w:r>
          </w:p>
        </w:tc>
      </w:tr>
      <w:tr>
        <w:trPr>
          <w:cantSplit/>
        </w:trPr>
        <w:tc>
          <w:tcPr>
            <w:tcW w:type="dxa" w:w="1200"/>
            <w:vAlign w:val="top"/>
            <w:tcMar>
              <w:top w:w="80" w:type="dxa"/>
              <w:start w:w="120" w:type="dxa"/>
              <w:bottom w:w="80" w:type="dxa"/>
              <w:end w:w="120" w:type="dxa"/>
            </w:tcMar>
          </w:tcPr>
          <w:p>
            <w:pPr>
              <w:spacing w:after="0"/>
            </w:pPr>
            <w:r>
              <w:rPr>
                <w:sz w:val="18"/>
              </w:rPr>
              <w:t>June 2</w:t>
            </w:r>
          </w:p>
        </w:tc>
        <w:tc>
          <w:tcPr>
            <w:tcW w:type="dxa" w:w="3900"/>
            <w:vAlign w:val="top"/>
            <w:tcMar>
              <w:top w:w="80" w:type="dxa"/>
              <w:start w:w="120" w:type="dxa"/>
              <w:bottom w:w="80" w:type="dxa"/>
              <w:end w:w="120" w:type="dxa"/>
            </w:tcMar>
          </w:tcPr>
          <w:p>
            <w:pPr>
              <w:spacing w:after="0"/>
            </w:pPr>
            <w:r>
              <w:rPr>
                <w:sz w:val="18"/>
              </w:rPr>
              <w:t>Regular-session high $72.62; close $62.55.</w:t>
            </w:r>
          </w:p>
        </w:tc>
        <w:tc>
          <w:tcPr>
            <w:tcW w:type="dxa" w:w="4260"/>
            <w:vAlign w:val="top"/>
            <w:tcMar>
              <w:top w:w="80" w:type="dxa"/>
              <w:start w:w="120" w:type="dxa"/>
              <w:bottom w:w="80" w:type="dxa"/>
              <w:end w:w="120" w:type="dxa"/>
            </w:tcMar>
          </w:tcPr>
          <w:p>
            <w:pPr>
              <w:spacing w:after="0"/>
            </w:pPr>
            <w:r>
              <w:rPr>
                <w:sz w:val="18"/>
              </w:rPr>
              <w:t>The fixed price-event date.</w:t>
            </w:r>
          </w:p>
        </w:tc>
      </w:tr>
      <w:tr>
        <w:trPr>
          <w:cantSplit/>
        </w:trPr>
        <w:tc>
          <w:tcPr>
            <w:tcW w:type="dxa" w:w="1200"/>
            <w:vAlign w:val="top"/>
            <w:tcMar>
              <w:top w:w="80" w:type="dxa"/>
              <w:start w:w="120" w:type="dxa"/>
              <w:bottom w:w="80" w:type="dxa"/>
              <w:end w:w="120" w:type="dxa"/>
            </w:tcMar>
          </w:tcPr>
          <w:p>
            <w:pPr>
              <w:spacing w:after="0"/>
            </w:pPr>
            <w:r>
              <w:rPr>
                <w:sz w:val="18"/>
              </w:rPr>
              <w:t>June 3</w:t>
            </w:r>
          </w:p>
        </w:tc>
        <w:tc>
          <w:tcPr>
            <w:tcW w:type="dxa" w:w="3900"/>
            <w:vAlign w:val="top"/>
            <w:tcMar>
              <w:top w:w="80" w:type="dxa"/>
              <w:start w:w="120" w:type="dxa"/>
              <w:bottom w:w="80" w:type="dxa"/>
              <w:end w:w="120" w:type="dxa"/>
            </w:tcMar>
          </w:tcPr>
          <w:p>
            <w:pPr>
              <w:spacing w:after="0"/>
            </w:pPr>
            <w:r>
              <w:rPr>
                <w:sz w:val="18"/>
              </w:rPr>
              <w:t>11.55 million-share ATM completed at an average $50.85, approximately $587.3 million.</w:t>
            </w:r>
          </w:p>
        </w:tc>
        <w:tc>
          <w:tcPr>
            <w:tcW w:type="dxa" w:w="4260"/>
            <w:vAlign w:val="top"/>
            <w:tcMar>
              <w:top w:w="80" w:type="dxa"/>
              <w:start w:w="120" w:type="dxa"/>
              <w:bottom w:w="80" w:type="dxa"/>
              <w:end w:w="120" w:type="dxa"/>
            </w:tcMar>
          </w:tcPr>
          <w:p>
            <w:pPr>
              <w:spacing w:after="0"/>
            </w:pPr>
            <w:r>
              <w:rPr>
                <w:sz w:val="18"/>
              </w:rPr>
              <w:t>Large additional supply; execution, allocation, and settlement bridge remains hidden.</w:t>
            </w:r>
          </w:p>
        </w:tc>
      </w:tr>
      <w:tr>
        <w:trPr>
          <w:cantSplit/>
        </w:trPr>
        <w:tc>
          <w:tcPr>
            <w:tcW w:type="dxa" w:w="1200"/>
            <w:vAlign w:val="top"/>
            <w:tcMar>
              <w:top w:w="80" w:type="dxa"/>
              <w:start w:w="120" w:type="dxa"/>
              <w:bottom w:w="80" w:type="dxa"/>
              <w:end w:w="120" w:type="dxa"/>
            </w:tcMar>
          </w:tcPr>
          <w:p>
            <w:pPr>
              <w:spacing w:after="0"/>
            </w:pPr>
            <w:r>
              <w:rPr>
                <w:sz w:val="18"/>
              </w:rPr>
              <w:t>June 15</w:t>
            </w:r>
          </w:p>
        </w:tc>
        <w:tc>
          <w:tcPr>
            <w:tcW w:type="dxa" w:w="3900"/>
            <w:vAlign w:val="top"/>
            <w:tcMar>
              <w:top w:w="80" w:type="dxa"/>
              <w:start w:w="120" w:type="dxa"/>
              <w:bottom w:w="80" w:type="dxa"/>
              <w:end w:w="120" w:type="dxa"/>
            </w:tcMar>
          </w:tcPr>
          <w:p>
            <w:pPr>
              <w:spacing w:after="0"/>
            </w:pPr>
            <w:r>
              <w:rPr>
                <w:sz w:val="18"/>
              </w:rPr>
              <w:t>85,076,339 reported shares short.</w:t>
            </w:r>
          </w:p>
        </w:tc>
        <w:tc>
          <w:tcPr>
            <w:tcW w:type="dxa" w:w="4260"/>
            <w:vAlign w:val="top"/>
            <w:tcMar>
              <w:top w:w="80" w:type="dxa"/>
              <w:start w:w="120" w:type="dxa"/>
              <w:bottom w:w="80" w:type="dxa"/>
              <w:end w:w="120" w:type="dxa"/>
            </w:tcMar>
          </w:tcPr>
          <w:p>
            <w:pPr>
              <w:spacing w:after="0"/>
            </w:pPr>
            <w:r>
              <w:rPr>
                <w:sz w:val="18"/>
              </w:rPr>
              <w:t>Net short interest declined but remained large.</w:t>
            </w:r>
          </w:p>
        </w:tc>
      </w:tr>
      <w:tr>
        <w:trPr>
          <w:cantSplit/>
        </w:trPr>
        <w:tc>
          <w:tcPr>
            <w:tcW w:type="dxa" w:w="1200"/>
            <w:vAlign w:val="top"/>
            <w:tcMar>
              <w:top w:w="80" w:type="dxa"/>
              <w:start w:w="120" w:type="dxa"/>
              <w:bottom w:w="80" w:type="dxa"/>
              <w:end w:w="120" w:type="dxa"/>
            </w:tcMar>
          </w:tcPr>
          <w:p>
            <w:pPr>
              <w:spacing w:after="0"/>
            </w:pPr>
            <w:r>
              <w:rPr>
                <w:sz w:val="18"/>
              </w:rPr>
              <w:t>June 18–25</w:t>
            </w:r>
          </w:p>
        </w:tc>
        <w:tc>
          <w:tcPr>
            <w:tcW w:type="dxa" w:w="3900"/>
            <w:vAlign w:val="top"/>
            <w:tcMar>
              <w:top w:w="80" w:type="dxa"/>
              <w:start w:w="120" w:type="dxa"/>
              <w:bottom w:w="80" w:type="dxa"/>
              <w:end w:w="120" w:type="dxa"/>
            </w:tcMar>
          </w:tcPr>
          <w:p>
            <w:pPr>
              <w:spacing w:after="0"/>
            </w:pPr>
            <w:r>
              <w:rPr>
                <w:sz w:val="18"/>
              </w:rPr>
              <w:t>FTDs rose into a multi-million-share cluster; June 25 balance 4,419,417.</w:t>
            </w:r>
          </w:p>
        </w:tc>
        <w:tc>
          <w:tcPr>
            <w:tcW w:type="dxa" w:w="4260"/>
            <w:vAlign w:val="top"/>
            <w:tcMar>
              <w:top w:w="80" w:type="dxa"/>
              <w:start w:w="120" w:type="dxa"/>
              <w:bottom w:w="80" w:type="dxa"/>
              <w:end w:w="120" w:type="dxa"/>
            </w:tcMar>
          </w:tcPr>
          <w:p>
            <w:pPr>
              <w:spacing w:after="0"/>
            </w:pPr>
            <w:r>
              <w:rPr>
                <w:sz w:val="18"/>
              </w:rPr>
              <w:t>Persistent settlement stress; participant cause not public.</w:t>
            </w:r>
          </w:p>
        </w:tc>
      </w:tr>
      <w:tr>
        <w:trPr>
          <w:cantSplit/>
        </w:trPr>
        <w:tc>
          <w:tcPr>
            <w:tcW w:type="dxa" w:w="1200"/>
            <w:vAlign w:val="top"/>
            <w:tcMar>
              <w:top w:w="80" w:type="dxa"/>
              <w:start w:w="120" w:type="dxa"/>
              <w:bottom w:w="80" w:type="dxa"/>
              <w:end w:w="120" w:type="dxa"/>
            </w:tcMar>
          </w:tcPr>
          <w:p>
            <w:pPr>
              <w:spacing w:after="0"/>
            </w:pPr>
            <w:r>
              <w:rPr>
                <w:sz w:val="18"/>
              </w:rPr>
              <w:t>June 25–July 8</w:t>
            </w:r>
          </w:p>
        </w:tc>
        <w:tc>
          <w:tcPr>
            <w:tcW w:type="dxa" w:w="3900"/>
            <w:vAlign w:val="top"/>
            <w:tcMar>
              <w:top w:w="80" w:type="dxa"/>
              <w:start w:w="120" w:type="dxa"/>
              <w:bottom w:w="80" w:type="dxa"/>
              <w:end w:w="120" w:type="dxa"/>
            </w:tcMar>
          </w:tcPr>
          <w:p>
            <w:pPr>
              <w:spacing w:after="0"/>
            </w:pPr>
            <w:r>
              <w:rPr>
                <w:sz w:val="18"/>
              </w:rPr>
              <w:t>AMC appeared on NYSE’s Regulation SHO threshold list; absent July 9.</w:t>
            </w:r>
          </w:p>
        </w:tc>
        <w:tc>
          <w:tcPr>
            <w:tcW w:type="dxa" w:w="4260"/>
            <w:vAlign w:val="top"/>
            <w:tcMar>
              <w:top w:w="80" w:type="dxa"/>
              <w:start w:w="120" w:type="dxa"/>
              <w:bottom w:w="80" w:type="dxa"/>
              <w:end w:w="120" w:type="dxa"/>
            </w:tcMar>
          </w:tcPr>
          <w:p>
            <w:pPr>
              <w:spacing w:after="0"/>
            </w:pPr>
            <w:r>
              <w:rPr>
                <w:sz w:val="18"/>
              </w:rPr>
              <w:t>The market had a rule-defined persistent fail condition.</w:t>
            </w:r>
          </w:p>
        </w:tc>
      </w:tr>
      <w:tr>
        <w:trPr>
          <w:cantSplit/>
        </w:trPr>
        <w:tc>
          <w:tcPr>
            <w:tcW w:type="dxa" w:w="1200"/>
            <w:vAlign w:val="top"/>
            <w:tcMar>
              <w:top w:w="80" w:type="dxa"/>
              <w:start w:w="120" w:type="dxa"/>
              <w:bottom w:w="80" w:type="dxa"/>
              <w:end w:w="120" w:type="dxa"/>
            </w:tcMar>
          </w:tcPr>
          <w:p>
            <w:pPr>
              <w:spacing w:after="0"/>
            </w:pPr>
            <w:r>
              <w:rPr>
                <w:sz w:val="18"/>
              </w:rPr>
              <w:t>July 14</w:t>
            </w:r>
          </w:p>
        </w:tc>
        <w:tc>
          <w:tcPr>
            <w:tcW w:type="dxa" w:w="3900"/>
            <w:vAlign w:val="top"/>
            <w:tcMar>
              <w:top w:w="80" w:type="dxa"/>
              <w:start w:w="120" w:type="dxa"/>
              <w:bottom w:w="80" w:type="dxa"/>
              <w:end w:w="120" w:type="dxa"/>
            </w:tcMar>
          </w:tcPr>
          <w:p>
            <w:pPr>
              <w:spacing w:after="0"/>
            </w:pPr>
            <w:r>
              <w:rPr>
                <w:sz w:val="18"/>
              </w:rPr>
              <w:t>Close $33.43.</w:t>
            </w:r>
          </w:p>
        </w:tc>
        <w:tc>
          <w:tcPr>
            <w:tcW w:type="dxa" w:w="4260"/>
            <w:vAlign w:val="top"/>
            <w:tcMar>
              <w:top w:w="80" w:type="dxa"/>
              <w:start w:w="120" w:type="dxa"/>
              <w:bottom w:w="80" w:type="dxa"/>
              <w:end w:w="120" w:type="dxa"/>
            </w:tcMar>
          </w:tcPr>
          <w:p>
            <w:pPr>
              <w:spacing w:after="0"/>
            </w:pPr>
            <w:r>
              <w:rPr>
                <w:sz w:val="18"/>
              </w:rPr>
              <w:t>53.96% below the June 2 high after 42 calendar days.</w:t>
            </w:r>
          </w:p>
        </w:tc>
      </w:tr>
      <w:tr>
        <w:trPr>
          <w:cantSplit/>
        </w:trPr>
        <w:tc>
          <w:tcPr>
            <w:tcW w:type="dxa" w:w="1200"/>
            <w:vAlign w:val="top"/>
            <w:tcMar>
              <w:top w:w="80" w:type="dxa"/>
              <w:start w:w="120" w:type="dxa"/>
              <w:bottom w:w="80" w:type="dxa"/>
              <w:end w:w="120" w:type="dxa"/>
            </w:tcMar>
          </w:tcPr>
          <w:p>
            <w:pPr>
              <w:spacing w:after="0"/>
            </w:pPr>
            <w:r>
              <w:rPr>
                <w:sz w:val="18"/>
              </w:rPr>
              <w:t>July 15</w:t>
            </w:r>
          </w:p>
        </w:tc>
        <w:tc>
          <w:tcPr>
            <w:tcW w:type="dxa" w:w="3900"/>
            <w:vAlign w:val="top"/>
            <w:tcMar>
              <w:top w:w="80" w:type="dxa"/>
              <w:start w:w="120" w:type="dxa"/>
              <w:bottom w:w="80" w:type="dxa"/>
              <w:end w:w="120" w:type="dxa"/>
            </w:tcMar>
          </w:tcPr>
          <w:p>
            <w:pPr>
              <w:spacing w:after="0"/>
            </w:pPr>
            <w:r>
              <w:rPr>
                <w:sz w:val="18"/>
              </w:rPr>
              <w:t>79,747,897 reported shares short.</w:t>
            </w:r>
          </w:p>
        </w:tc>
        <w:tc>
          <w:tcPr>
            <w:tcW w:type="dxa" w:w="4260"/>
            <w:vAlign w:val="top"/>
            <w:tcMar>
              <w:top w:w="80" w:type="dxa"/>
              <w:start w:w="120" w:type="dxa"/>
              <w:bottom w:w="80" w:type="dxa"/>
              <w:end w:w="120" w:type="dxa"/>
            </w:tcMar>
          </w:tcPr>
          <w:p>
            <w:pPr>
              <w:spacing w:after="0"/>
            </w:pPr>
            <w:r>
              <w:rPr>
                <w:sz w:val="18"/>
              </w:rPr>
              <w:t>Short interest rose 5.65% from June 30 while price remained far below the peak.</w:t>
            </w:r>
          </w:p>
        </w:tc>
      </w:tr>
    </w:tbl>
    <w:p>
      <w:pPr>
        <w:spacing w:after="0"/>
      </w:pPr>
    </w:p>
    <w:p>
      <w:pPr>
        <w:pStyle w:val="Heading1"/>
      </w:pPr>
      <w:r>
        <w:t>3. The reconstructed liquidity-withdrawal evidence</w:t>
      </w:r>
    </w:p>
    <w:p>
      <w:pPr>
        <w:pStyle w:val="Heading2"/>
      </w:pPr>
      <w:r>
        <w:t>3.1 Source integrity</w:t>
      </w:r>
    </w:p>
    <w:p>
      <w:r>
        <w:t>The June 2 reconstruction is grounded in 10 venue files that were independently rehashed, 19,560,345 normalized market-by-order records rescanned, and 103 frozen order chains reconstructed exactly. This fixes the evidence population and prevents later narrative drift.</w:t>
      </w:r>
    </w:p>
    <w:tbl>
      <w:tblPr>
        <w:tblStyle w:val="TableGrid"/>
        <w:tblW w:type="dxa" w:w="9360"/>
        <w:jc w:val="center"/>
        <w:tblLayout w:type="fixed"/>
        <w:tblLook w:firstColumn="1" w:firstRow="1" w:lastColumn="0" w:lastRow="0" w:noHBand="0" w:noVBand="1" w:val="04A0"/>
      </w:tblPr>
      <w:tblGrid>
        <w:gridCol w:w="3100"/>
        <w:gridCol w:w="3500"/>
        <w:gridCol w:w="2760"/>
      </w:tblGrid>
      <w:tr>
        <w:trPr>
          <w:trHeight w:hRule="atLeast"/>
          <w:tblHeader w:val="true"/>
        </w:trPr>
        <w:tc>
          <w:tcPr>
            <w:tcW w:type="dxa" w:w="3100"/>
            <w:shd w:fill="F2F4F7"/>
            <w:vAlign w:val="center"/>
            <w:tcMar>
              <w:top w:w="80" w:type="dxa"/>
              <w:start w:w="120" w:type="dxa"/>
              <w:bottom w:w="80" w:type="dxa"/>
              <w:end w:w="120" w:type="dxa"/>
            </w:tcMar>
          </w:tcPr>
          <w:p>
            <w:pPr>
              <w:spacing w:after="0"/>
            </w:pPr>
            <w:r>
              <w:rPr>
                <w:b/>
                <w:color w:val="17365D"/>
                <w:sz w:val="18"/>
              </w:rPr>
              <w:t>Finding</w:t>
            </w:r>
          </w:p>
        </w:tc>
        <w:tc>
          <w:tcPr>
            <w:tcW w:type="dxa" w:w="3500"/>
            <w:shd w:fill="F2F4F7"/>
            <w:vAlign w:val="center"/>
            <w:tcMar>
              <w:top w:w="80" w:type="dxa"/>
              <w:start w:w="120" w:type="dxa"/>
              <w:bottom w:w="80" w:type="dxa"/>
              <w:end w:w="120" w:type="dxa"/>
            </w:tcMar>
          </w:tcPr>
          <w:p>
            <w:pPr>
              <w:spacing w:after="0"/>
            </w:pPr>
            <w:r>
              <w:rPr>
                <w:b/>
                <w:color w:val="17365D"/>
                <w:sz w:val="18"/>
              </w:rPr>
              <w:t>Result</w:t>
            </w:r>
          </w:p>
        </w:tc>
        <w:tc>
          <w:tcPr>
            <w:tcW w:type="dxa" w:w="2760"/>
            <w:shd w:fill="F2F4F7"/>
            <w:vAlign w:val="center"/>
            <w:tcMar>
              <w:top w:w="80" w:type="dxa"/>
              <w:start w:w="120" w:type="dxa"/>
              <w:bottom w:w="80" w:type="dxa"/>
              <w:end w:w="120" w:type="dxa"/>
            </w:tcMar>
          </w:tcPr>
          <w:p>
            <w:pPr>
              <w:spacing w:after="0"/>
            </w:pPr>
            <w:r>
              <w:rPr>
                <w:b/>
                <w:color w:val="17365D"/>
                <w:sz w:val="18"/>
              </w:rPr>
              <w:t>Boundary</w:t>
            </w:r>
          </w:p>
        </w:tc>
      </w:tr>
      <w:tr>
        <w:trPr>
          <w:cantSplit/>
        </w:trPr>
        <w:tc>
          <w:tcPr>
            <w:tcW w:type="dxa" w:w="3100"/>
            <w:vAlign w:val="top"/>
            <w:tcMar>
              <w:top w:w="80" w:type="dxa"/>
              <w:start w:w="120" w:type="dxa"/>
              <w:bottom w:w="80" w:type="dxa"/>
              <w:end w:w="120" w:type="dxa"/>
            </w:tcMar>
          </w:tcPr>
          <w:p>
            <w:pPr>
              <w:spacing w:after="0"/>
            </w:pPr>
            <w:r>
              <w:rPr>
                <w:sz w:val="18"/>
              </w:rPr>
              <w:t>Frozen chains</w:t>
            </w:r>
          </w:p>
        </w:tc>
        <w:tc>
          <w:tcPr>
            <w:tcW w:type="dxa" w:w="3500"/>
            <w:vAlign w:val="top"/>
            <w:tcMar>
              <w:top w:w="80" w:type="dxa"/>
              <w:start w:w="120" w:type="dxa"/>
              <w:bottom w:w="80" w:type="dxa"/>
              <w:end w:w="120" w:type="dxa"/>
            </w:tcMar>
          </w:tcPr>
          <w:p>
            <w:pPr>
              <w:spacing w:after="0"/>
            </w:pPr>
            <w:r>
              <w:rPr>
                <w:sz w:val="18"/>
              </w:rPr>
              <w:t>103</w:t>
            </w:r>
          </w:p>
        </w:tc>
        <w:tc>
          <w:tcPr>
            <w:tcW w:type="dxa" w:w="2760"/>
            <w:vAlign w:val="top"/>
            <w:tcMar>
              <w:top w:w="80" w:type="dxa"/>
              <w:start w:w="120" w:type="dxa"/>
              <w:bottom w:w="80" w:type="dxa"/>
              <w:end w:w="120" w:type="dxa"/>
            </w:tcMar>
          </w:tcPr>
          <w:p>
            <w:pPr>
              <w:spacing w:after="0"/>
            </w:pPr>
            <w:r>
              <w:rPr>
                <w:sz w:val="18"/>
              </w:rPr>
              <w:t>Exact reconstruction across two targeted episodes</w:t>
            </w:r>
          </w:p>
        </w:tc>
      </w:tr>
      <w:tr>
        <w:trPr>
          <w:cantSplit/>
        </w:trPr>
        <w:tc>
          <w:tcPr>
            <w:tcW w:type="dxa" w:w="3100"/>
            <w:vAlign w:val="top"/>
            <w:tcMar>
              <w:top w:w="80" w:type="dxa"/>
              <w:start w:w="120" w:type="dxa"/>
              <w:bottom w:w="80" w:type="dxa"/>
              <w:end w:w="120" w:type="dxa"/>
            </w:tcMar>
          </w:tcPr>
          <w:p>
            <w:pPr>
              <w:spacing w:after="0"/>
            </w:pPr>
            <w:r>
              <w:rPr>
                <w:sz w:val="18"/>
              </w:rPr>
              <w:t>Maximum displayed bid shares canceled</w:t>
            </w:r>
          </w:p>
        </w:tc>
        <w:tc>
          <w:tcPr>
            <w:tcW w:type="dxa" w:w="3500"/>
            <w:vAlign w:val="top"/>
            <w:tcMar>
              <w:top w:w="80" w:type="dxa"/>
              <w:start w:w="120" w:type="dxa"/>
              <w:bottom w:w="80" w:type="dxa"/>
              <w:end w:w="120" w:type="dxa"/>
            </w:tcMar>
          </w:tcPr>
          <w:p>
            <w:pPr>
              <w:spacing w:after="0"/>
            </w:pPr>
            <w:r>
              <w:rPr>
                <w:sz w:val="18"/>
              </w:rPr>
              <w:t>863,079</w:t>
            </w:r>
          </w:p>
        </w:tc>
        <w:tc>
          <w:tcPr>
            <w:tcW w:type="dxa" w:w="2760"/>
            <w:vAlign w:val="top"/>
            <w:tcMar>
              <w:top w:w="80" w:type="dxa"/>
              <w:start w:w="120" w:type="dxa"/>
              <w:bottom w:w="80" w:type="dxa"/>
              <w:end w:w="120" w:type="dxa"/>
            </w:tcMar>
          </w:tcPr>
          <w:p>
            <w:pPr>
              <w:spacing w:after="0"/>
            </w:pPr>
            <w:r>
              <w:rPr>
                <w:sz w:val="18"/>
              </w:rPr>
              <w:t>Maximum displayed size across those chains; not unique beneficial shares</w:t>
            </w:r>
          </w:p>
        </w:tc>
      </w:tr>
      <w:tr>
        <w:trPr>
          <w:cantSplit/>
        </w:trPr>
        <w:tc>
          <w:tcPr>
            <w:tcW w:type="dxa" w:w="3100"/>
            <w:vAlign w:val="top"/>
            <w:tcMar>
              <w:top w:w="80" w:type="dxa"/>
              <w:start w:w="120" w:type="dxa"/>
              <w:bottom w:w="80" w:type="dxa"/>
              <w:end w:w="120" w:type="dxa"/>
            </w:tcMar>
          </w:tcPr>
          <w:p>
            <w:pPr>
              <w:spacing w:after="0"/>
            </w:pPr>
            <w:r>
              <w:rPr>
                <w:sz w:val="18"/>
              </w:rPr>
              <w:t>Shares executed in frozen chains</w:t>
            </w:r>
          </w:p>
        </w:tc>
        <w:tc>
          <w:tcPr>
            <w:tcW w:type="dxa" w:w="3500"/>
            <w:vAlign w:val="top"/>
            <w:tcMar>
              <w:top w:w="80" w:type="dxa"/>
              <w:start w:w="120" w:type="dxa"/>
              <w:bottom w:w="80" w:type="dxa"/>
              <w:end w:w="120" w:type="dxa"/>
            </w:tcMar>
          </w:tcPr>
          <w:p>
            <w:pPr>
              <w:spacing w:after="0"/>
            </w:pPr>
            <w:r>
              <w:rPr>
                <w:sz w:val="18"/>
              </w:rPr>
              <w:t>0</w:t>
            </w:r>
          </w:p>
        </w:tc>
        <w:tc>
          <w:tcPr>
            <w:tcW w:type="dxa" w:w="2760"/>
            <w:vAlign w:val="top"/>
            <w:tcMar>
              <w:top w:w="80" w:type="dxa"/>
              <w:start w:w="120" w:type="dxa"/>
              <w:bottom w:w="80" w:type="dxa"/>
              <w:end w:w="120" w:type="dxa"/>
            </w:tcMar>
          </w:tcPr>
          <w:p>
            <w:pPr>
              <w:spacing w:after="0"/>
            </w:pPr>
            <w:r>
              <w:rPr>
                <w:sz w:val="18"/>
              </w:rPr>
              <w:t>Direct disposition test</w:t>
            </w:r>
          </w:p>
        </w:tc>
      </w:tr>
      <w:tr>
        <w:trPr>
          <w:cantSplit/>
        </w:trPr>
        <w:tc>
          <w:tcPr>
            <w:tcW w:type="dxa" w:w="3100"/>
            <w:vAlign w:val="top"/>
            <w:tcMar>
              <w:top w:w="80" w:type="dxa"/>
              <w:start w:w="120" w:type="dxa"/>
              <w:bottom w:w="80" w:type="dxa"/>
              <w:end w:w="120" w:type="dxa"/>
            </w:tcMar>
          </w:tcPr>
          <w:p>
            <w:pPr>
              <w:spacing w:after="0"/>
            </w:pPr>
            <w:r>
              <w:rPr>
                <w:sz w:val="18"/>
              </w:rPr>
              <w:t>Replacement chains</w:t>
            </w:r>
          </w:p>
        </w:tc>
        <w:tc>
          <w:tcPr>
            <w:tcW w:type="dxa" w:w="3500"/>
            <w:vAlign w:val="top"/>
            <w:tcMar>
              <w:top w:w="80" w:type="dxa"/>
              <w:start w:w="120" w:type="dxa"/>
              <w:bottom w:w="80" w:type="dxa"/>
              <w:end w:w="120" w:type="dxa"/>
            </w:tcMar>
          </w:tcPr>
          <w:p>
            <w:pPr>
              <w:spacing w:after="0"/>
            </w:pPr>
            <w:r>
              <w:rPr>
                <w:sz w:val="18"/>
              </w:rPr>
              <w:t>0</w:t>
            </w:r>
          </w:p>
        </w:tc>
        <w:tc>
          <w:tcPr>
            <w:tcW w:type="dxa" w:w="2760"/>
            <w:vAlign w:val="top"/>
            <w:tcMar>
              <w:top w:w="80" w:type="dxa"/>
              <w:start w:w="120" w:type="dxa"/>
              <w:bottom w:w="80" w:type="dxa"/>
              <w:end w:w="120" w:type="dxa"/>
            </w:tcMar>
          </w:tcPr>
          <w:p>
            <w:pPr>
              <w:spacing w:after="0"/>
            </w:pPr>
            <w:r>
              <w:rPr>
                <w:sz w:val="18"/>
              </w:rPr>
              <w:t>Within the frozen chain set</w:t>
            </w:r>
          </w:p>
        </w:tc>
      </w:tr>
      <w:tr>
        <w:trPr>
          <w:cantSplit/>
        </w:trPr>
        <w:tc>
          <w:tcPr>
            <w:tcW w:type="dxa" w:w="3100"/>
            <w:vAlign w:val="top"/>
            <w:tcMar>
              <w:top w:w="80" w:type="dxa"/>
              <w:start w:w="120" w:type="dxa"/>
              <w:bottom w:w="80" w:type="dxa"/>
              <w:end w:w="120" w:type="dxa"/>
            </w:tcMar>
          </w:tcPr>
          <w:p>
            <w:pPr>
              <w:spacing w:after="0"/>
            </w:pPr>
            <w:r>
              <w:rPr>
                <w:sz w:val="18"/>
              </w:rPr>
              <w:t>Episode 1</w:t>
            </w:r>
          </w:p>
        </w:tc>
        <w:tc>
          <w:tcPr>
            <w:tcW w:type="dxa" w:w="3500"/>
            <w:vAlign w:val="top"/>
            <w:tcMar>
              <w:top w:w="80" w:type="dxa"/>
              <w:start w:w="120" w:type="dxa"/>
              <w:bottom w:w="80" w:type="dxa"/>
              <w:end w:w="120" w:type="dxa"/>
            </w:tcMar>
          </w:tcPr>
          <w:p>
            <w:pPr>
              <w:spacing w:after="0"/>
            </w:pPr>
            <w:r>
              <w:rPr>
                <w:sz w:val="18"/>
              </w:rPr>
              <w:t>74 chains; 7 venues; 0.807 sec; 472,579 shares</w:t>
            </w:r>
          </w:p>
        </w:tc>
        <w:tc>
          <w:tcPr>
            <w:tcW w:type="dxa" w:w="2760"/>
            <w:vAlign w:val="top"/>
            <w:tcMar>
              <w:top w:w="80" w:type="dxa"/>
              <w:start w:w="120" w:type="dxa"/>
              <w:bottom w:w="80" w:type="dxa"/>
              <w:end w:w="120" w:type="dxa"/>
            </w:tcMar>
          </w:tcPr>
          <w:p>
            <w:pPr>
              <w:spacing w:after="0"/>
            </w:pPr>
            <w:r>
              <w:rPr>
                <w:sz w:val="18"/>
              </w:rPr>
              <w:t>Full end-anchored 5-second response: −31.129155 bps</w:t>
            </w:r>
          </w:p>
        </w:tc>
      </w:tr>
      <w:tr>
        <w:trPr>
          <w:cantSplit/>
        </w:trPr>
        <w:tc>
          <w:tcPr>
            <w:tcW w:type="dxa" w:w="3100"/>
            <w:vAlign w:val="top"/>
            <w:tcMar>
              <w:top w:w="80" w:type="dxa"/>
              <w:start w:w="120" w:type="dxa"/>
              <w:bottom w:w="80" w:type="dxa"/>
              <w:end w:w="120" w:type="dxa"/>
            </w:tcMar>
          </w:tcPr>
          <w:p>
            <w:pPr>
              <w:spacing w:after="0"/>
            </w:pPr>
            <w:r>
              <w:rPr>
                <w:sz w:val="18"/>
              </w:rPr>
              <w:t>Episode 2 / strict global lead</w:t>
            </w:r>
          </w:p>
        </w:tc>
        <w:tc>
          <w:tcPr>
            <w:tcW w:type="dxa" w:w="3500"/>
            <w:vAlign w:val="top"/>
            <w:tcMar>
              <w:top w:w="80" w:type="dxa"/>
              <w:start w:w="120" w:type="dxa"/>
              <w:bottom w:w="80" w:type="dxa"/>
              <w:end w:w="120" w:type="dxa"/>
            </w:tcMar>
          </w:tcPr>
          <w:p>
            <w:pPr>
              <w:spacing w:after="0"/>
            </w:pPr>
            <w:r>
              <w:rPr>
                <w:sz w:val="18"/>
              </w:rPr>
              <w:t>29 chains; BATS, EDGX, XNAS; 3.895 sec; 390,500 shares</w:t>
            </w:r>
          </w:p>
        </w:tc>
        <w:tc>
          <w:tcPr>
            <w:tcW w:type="dxa" w:w="2760"/>
            <w:vAlign w:val="top"/>
            <w:tcMar>
              <w:top w:w="80" w:type="dxa"/>
              <w:start w:w="120" w:type="dxa"/>
              <w:bottom w:w="80" w:type="dxa"/>
              <w:end w:w="120" w:type="dxa"/>
            </w:tcMar>
          </w:tcPr>
          <w:p>
            <w:pPr>
              <w:spacing w:after="0"/>
            </w:pPr>
            <w:r>
              <w:rPr>
                <w:sz w:val="18"/>
              </w:rPr>
              <w:t>Full end-anchored 5-second response: +13.615651 bps</w:t>
            </w:r>
          </w:p>
        </w:tc>
      </w:tr>
    </w:tbl>
    <w:p>
      <w:pPr>
        <w:spacing w:after="0"/>
      </w:pP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EDF3F8"/>
            <w:tcBorders>
              <w:left w:val="single" w:sz="24" w:color="2E74B5"/>
            </w:tcBorders>
          </w:tcPr>
          <w:p>
            <w:pPr>
              <w:spacing w:after="80"/>
            </w:pPr>
            <w:r>
              <w:rPr>
                <w:b/>
                <w:color w:val="2E74B5"/>
                <w:sz w:val="20"/>
              </w:rPr>
              <w:t>WHAT THE REVERSAL MEANS</w:t>
            </w:r>
          </w:p>
          <w:p>
            <w:pPr>
              <w:spacing w:after="0"/>
            </w:pPr>
            <w:r>
              <w:t>Episode 2 passed the strict mechanical screen even though the full end-anchored five-second response later reversed upward. That makes it a valid order-behavior lead, not proof that the episode caused a sustained decline. Episode 1 had the short-term negative response. The two episodes must not be merged into one causation claim.</w:t>
            </w:r>
          </w:p>
        </w:tc>
      </w:tr>
    </w:tbl>
    <w:p>
      <w:pPr>
        <w:spacing w:after="0"/>
      </w:pPr>
    </w:p>
    <w:p>
      <w:pPr>
        <w:pStyle w:val="Heading2"/>
      </w:pPr>
      <w:r>
        <w:t>3.2 Broad-minute diagnostic</w:t>
      </w:r>
    </w:p>
    <w:p>
      <w:r>
        <w:t>The broader 13:55 ET minute contained 398 chains and 5,332,245 displayed shares, of which 5,332,017 were removed without execution; median lifetime was approximately 7.858 milliseconds. That statistic is useful for scale and recurrence testing. It is not, by itself, evidence of spoofing because high-volatility market makers legitimately cancel and reprice at machine speed.</w:t>
      </w:r>
    </w:p>
    <w:p>
      <w:pPr>
        <w:pStyle w:val="Heading1"/>
      </w:pPr>
      <w:r>
        <w:t>4. Options evidence and the Arca concentration</w:t>
      </w:r>
    </w:p>
    <w:p>
      <w:r>
        <w:t>The corrected OPRA package reconciles 1,129,232 AMC options trade records and 4,618,679 contracts on June 2, with gross premium turnover of $5,505,726,114. Calls accounted for 2,815,971 contracts and puts for 1,802,708. OPRA side-reported coverage was zero, so these totals do not establish who bought or sold options or the direction of dealer hedging.</w:t>
      </w:r>
    </w:p>
    <w:tbl>
      <w:tblPr>
        <w:tblStyle w:val="TableGrid"/>
        <w:tblW w:type="dxa" w:w="9360"/>
        <w:jc w:val="center"/>
        <w:tblLayout w:type="fixed"/>
        <w:tblLook w:firstColumn="1" w:firstRow="1" w:lastColumn="0" w:lastRow="0" w:noHBand="0" w:noVBand="1" w:val="04A0"/>
      </w:tblPr>
      <w:tblGrid>
        <w:gridCol w:w="3000"/>
        <w:gridCol w:w="1800"/>
        <w:gridCol w:w="2300"/>
        <w:gridCol w:w="2260"/>
      </w:tblGrid>
      <w:tr>
        <w:trPr>
          <w:trHeight w:hRule="atLeast"/>
          <w:tblHeader w:val="true"/>
        </w:trPr>
        <w:tc>
          <w:tcPr>
            <w:tcW w:type="dxa" w:w="3000"/>
            <w:shd w:fill="F2F4F7"/>
            <w:vAlign w:val="center"/>
            <w:tcMar>
              <w:top w:w="80" w:type="dxa"/>
              <w:start w:w="120" w:type="dxa"/>
              <w:bottom w:w="80" w:type="dxa"/>
              <w:end w:w="120" w:type="dxa"/>
            </w:tcMar>
          </w:tcPr>
          <w:p>
            <w:pPr>
              <w:spacing w:after="0"/>
            </w:pPr>
            <w:r>
              <w:rPr>
                <w:b/>
                <w:color w:val="17365D"/>
                <w:sz w:val="18"/>
              </w:rPr>
              <w:t>Venue</w:t>
            </w:r>
          </w:p>
        </w:tc>
        <w:tc>
          <w:tcPr>
            <w:tcW w:type="dxa" w:w="1800"/>
            <w:shd w:fill="F2F4F7"/>
            <w:vAlign w:val="center"/>
            <w:tcMar>
              <w:top w:w="80" w:type="dxa"/>
              <w:start w:w="120" w:type="dxa"/>
              <w:bottom w:w="80" w:type="dxa"/>
              <w:end w:w="120" w:type="dxa"/>
            </w:tcMar>
          </w:tcPr>
          <w:p>
            <w:pPr>
              <w:spacing w:after="0"/>
            </w:pPr>
            <w:r>
              <w:rPr>
                <w:b/>
                <w:color w:val="17365D"/>
                <w:sz w:val="18"/>
              </w:rPr>
              <w:t>Contracts</w:t>
            </w:r>
          </w:p>
        </w:tc>
        <w:tc>
          <w:tcPr>
            <w:tcW w:type="dxa" w:w="2300"/>
            <w:shd w:fill="F2F4F7"/>
            <w:vAlign w:val="center"/>
            <w:tcMar>
              <w:top w:w="80" w:type="dxa"/>
              <w:start w:w="120" w:type="dxa"/>
              <w:bottom w:w="80" w:type="dxa"/>
              <w:end w:w="120" w:type="dxa"/>
            </w:tcMar>
          </w:tcPr>
          <w:p>
            <w:pPr>
              <w:spacing w:after="0"/>
            </w:pPr>
            <w:r>
              <w:rPr>
                <w:b/>
                <w:color w:val="17365D"/>
                <w:sz w:val="18"/>
              </w:rPr>
              <w:t>Share of June 2 contracts</w:t>
            </w:r>
          </w:p>
        </w:tc>
        <w:tc>
          <w:tcPr>
            <w:tcW w:type="dxa" w:w="2260"/>
            <w:shd w:fill="F2F4F7"/>
            <w:vAlign w:val="center"/>
            <w:tcMar>
              <w:top w:w="80" w:type="dxa"/>
              <w:start w:w="120" w:type="dxa"/>
              <w:bottom w:w="80" w:type="dxa"/>
              <w:end w:w="120" w:type="dxa"/>
            </w:tcMar>
          </w:tcPr>
          <w:p>
            <w:pPr>
              <w:spacing w:after="0"/>
            </w:pPr>
            <w:r>
              <w:rPr>
                <w:b/>
                <w:color w:val="17365D"/>
                <w:sz w:val="18"/>
              </w:rPr>
              <w:t>Gross premium</w:t>
            </w:r>
          </w:p>
        </w:tc>
      </w:tr>
      <w:tr>
        <w:trPr>
          <w:cantSplit/>
        </w:trPr>
        <w:tc>
          <w:tcPr>
            <w:tcW w:type="dxa" w:w="3000"/>
            <w:vAlign w:val="top"/>
            <w:tcMar>
              <w:top w:w="80" w:type="dxa"/>
              <w:start w:w="120" w:type="dxa"/>
              <w:bottom w:w="80" w:type="dxa"/>
              <w:end w:w="120" w:type="dxa"/>
            </w:tcMar>
          </w:tcPr>
          <w:p>
            <w:pPr>
              <w:spacing w:after="0"/>
            </w:pPr>
            <w:r>
              <w:rPr>
                <w:sz w:val="18"/>
              </w:rPr>
              <w:t>NYSE Arca Options</w:t>
            </w:r>
          </w:p>
        </w:tc>
        <w:tc>
          <w:tcPr>
            <w:tcW w:type="dxa" w:w="1800"/>
            <w:vAlign w:val="top"/>
            <w:tcMar>
              <w:top w:w="80" w:type="dxa"/>
              <w:start w:w="120" w:type="dxa"/>
              <w:bottom w:w="80" w:type="dxa"/>
              <w:end w:w="120" w:type="dxa"/>
            </w:tcMar>
          </w:tcPr>
          <w:p>
            <w:pPr>
              <w:spacing w:after="0"/>
            </w:pPr>
            <w:r>
              <w:rPr>
                <w:sz w:val="18"/>
              </w:rPr>
              <w:t>592,279</w:t>
            </w:r>
          </w:p>
        </w:tc>
        <w:tc>
          <w:tcPr>
            <w:tcW w:type="dxa" w:w="2300"/>
            <w:vAlign w:val="top"/>
            <w:tcMar>
              <w:top w:w="80" w:type="dxa"/>
              <w:start w:w="120" w:type="dxa"/>
              <w:bottom w:w="80" w:type="dxa"/>
              <w:end w:w="120" w:type="dxa"/>
            </w:tcMar>
          </w:tcPr>
          <w:p>
            <w:pPr>
              <w:spacing w:after="0"/>
            </w:pPr>
            <w:r>
              <w:rPr>
                <w:sz w:val="18"/>
              </w:rPr>
              <w:t>12.8236%</w:t>
            </w:r>
          </w:p>
        </w:tc>
        <w:tc>
          <w:tcPr>
            <w:tcW w:type="dxa" w:w="2260"/>
            <w:vAlign w:val="top"/>
            <w:tcMar>
              <w:top w:w="80" w:type="dxa"/>
              <w:start w:w="120" w:type="dxa"/>
              <w:bottom w:w="80" w:type="dxa"/>
              <w:end w:w="120" w:type="dxa"/>
            </w:tcMar>
          </w:tcPr>
          <w:p>
            <w:pPr>
              <w:spacing w:after="0"/>
            </w:pPr>
            <w:r>
              <w:rPr>
                <w:sz w:val="18"/>
              </w:rPr>
              <w:t>$651,959,866</w:t>
            </w:r>
          </w:p>
        </w:tc>
      </w:tr>
      <w:tr>
        <w:trPr>
          <w:cantSplit/>
        </w:trPr>
        <w:tc>
          <w:tcPr>
            <w:tcW w:type="dxa" w:w="3000"/>
            <w:vAlign w:val="top"/>
            <w:tcMar>
              <w:top w:w="80" w:type="dxa"/>
              <w:start w:w="120" w:type="dxa"/>
              <w:bottom w:w="80" w:type="dxa"/>
              <w:end w:w="120" w:type="dxa"/>
            </w:tcMar>
          </w:tcPr>
          <w:p>
            <w:pPr>
              <w:spacing w:after="0"/>
            </w:pPr>
            <w:r>
              <w:rPr>
                <w:sz w:val="18"/>
              </w:rPr>
              <w:t>Nasdaq GEMX</w:t>
            </w:r>
          </w:p>
        </w:tc>
        <w:tc>
          <w:tcPr>
            <w:tcW w:type="dxa" w:w="1800"/>
            <w:vAlign w:val="top"/>
            <w:tcMar>
              <w:top w:w="80" w:type="dxa"/>
              <w:start w:w="120" w:type="dxa"/>
              <w:bottom w:w="80" w:type="dxa"/>
              <w:end w:w="120" w:type="dxa"/>
            </w:tcMar>
          </w:tcPr>
          <w:p>
            <w:pPr>
              <w:spacing w:after="0"/>
            </w:pPr>
            <w:r>
              <w:rPr>
                <w:sz w:val="18"/>
              </w:rPr>
              <w:t>489,008</w:t>
            </w:r>
          </w:p>
        </w:tc>
        <w:tc>
          <w:tcPr>
            <w:tcW w:type="dxa" w:w="2300"/>
            <w:vAlign w:val="top"/>
            <w:tcMar>
              <w:top w:w="80" w:type="dxa"/>
              <w:start w:w="120" w:type="dxa"/>
              <w:bottom w:w="80" w:type="dxa"/>
              <w:end w:w="120" w:type="dxa"/>
            </w:tcMar>
          </w:tcPr>
          <w:p>
            <w:pPr>
              <w:spacing w:after="0"/>
            </w:pPr>
            <w:r>
              <w:rPr>
                <w:sz w:val="18"/>
              </w:rPr>
              <w:t>10.5876%</w:t>
            </w:r>
          </w:p>
        </w:tc>
        <w:tc>
          <w:tcPr>
            <w:tcW w:type="dxa" w:w="2260"/>
            <w:vAlign w:val="top"/>
            <w:tcMar>
              <w:top w:w="80" w:type="dxa"/>
              <w:start w:w="120" w:type="dxa"/>
              <w:bottom w:w="80" w:type="dxa"/>
              <w:end w:w="120" w:type="dxa"/>
            </w:tcMar>
          </w:tcPr>
          <w:p>
            <w:pPr>
              <w:spacing w:after="0"/>
            </w:pPr>
            <w:r>
              <w:rPr>
                <w:sz w:val="18"/>
              </w:rPr>
              <w:t>$474,859,578</w:t>
            </w:r>
          </w:p>
        </w:tc>
      </w:tr>
      <w:tr>
        <w:trPr>
          <w:cantSplit/>
        </w:trPr>
        <w:tc>
          <w:tcPr>
            <w:tcW w:type="dxa" w:w="3000"/>
            <w:vAlign w:val="top"/>
            <w:tcMar>
              <w:top w:w="80" w:type="dxa"/>
              <w:start w:w="120" w:type="dxa"/>
              <w:bottom w:w="80" w:type="dxa"/>
              <w:end w:w="120" w:type="dxa"/>
            </w:tcMar>
          </w:tcPr>
          <w:p>
            <w:pPr>
              <w:spacing w:after="0"/>
            </w:pPr>
            <w:r>
              <w:rPr>
                <w:sz w:val="18"/>
              </w:rPr>
              <w:t>Cboe BZX Options</w:t>
            </w:r>
          </w:p>
        </w:tc>
        <w:tc>
          <w:tcPr>
            <w:tcW w:type="dxa" w:w="1800"/>
            <w:vAlign w:val="top"/>
            <w:tcMar>
              <w:top w:w="80" w:type="dxa"/>
              <w:start w:w="120" w:type="dxa"/>
              <w:bottom w:w="80" w:type="dxa"/>
              <w:end w:w="120" w:type="dxa"/>
            </w:tcMar>
          </w:tcPr>
          <w:p>
            <w:pPr>
              <w:spacing w:after="0"/>
            </w:pPr>
            <w:r>
              <w:rPr>
                <w:sz w:val="18"/>
              </w:rPr>
              <w:t>424,048</w:t>
            </w:r>
          </w:p>
        </w:tc>
        <w:tc>
          <w:tcPr>
            <w:tcW w:type="dxa" w:w="2300"/>
            <w:vAlign w:val="top"/>
            <w:tcMar>
              <w:top w:w="80" w:type="dxa"/>
              <w:start w:w="120" w:type="dxa"/>
              <w:bottom w:w="80" w:type="dxa"/>
              <w:end w:w="120" w:type="dxa"/>
            </w:tcMar>
          </w:tcPr>
          <w:p>
            <w:pPr>
              <w:spacing w:after="0"/>
            </w:pPr>
            <w:r>
              <w:rPr>
                <w:sz w:val="18"/>
              </w:rPr>
              <w:t>9.1812%</w:t>
            </w:r>
          </w:p>
        </w:tc>
        <w:tc>
          <w:tcPr>
            <w:tcW w:type="dxa" w:w="2260"/>
            <w:vAlign w:val="top"/>
            <w:tcMar>
              <w:top w:w="80" w:type="dxa"/>
              <w:start w:w="120" w:type="dxa"/>
              <w:bottom w:w="80" w:type="dxa"/>
              <w:end w:w="120" w:type="dxa"/>
            </w:tcMar>
          </w:tcPr>
          <w:p>
            <w:pPr>
              <w:spacing w:after="0"/>
            </w:pPr>
            <w:r>
              <w:rPr>
                <w:sz w:val="18"/>
              </w:rPr>
              <w:t>$527,518,438</w:t>
            </w:r>
          </w:p>
        </w:tc>
      </w:tr>
      <w:tr>
        <w:trPr>
          <w:cantSplit/>
        </w:trPr>
        <w:tc>
          <w:tcPr>
            <w:tcW w:type="dxa" w:w="3000"/>
            <w:vAlign w:val="top"/>
            <w:tcMar>
              <w:top w:w="80" w:type="dxa"/>
              <w:start w:w="120" w:type="dxa"/>
              <w:bottom w:w="80" w:type="dxa"/>
              <w:end w:w="120" w:type="dxa"/>
            </w:tcMar>
          </w:tcPr>
          <w:p>
            <w:pPr>
              <w:spacing w:after="0"/>
            </w:pPr>
            <w:r>
              <w:rPr>
                <w:sz w:val="18"/>
              </w:rPr>
              <w:t>Nasdaq PHLX</w:t>
            </w:r>
          </w:p>
        </w:tc>
        <w:tc>
          <w:tcPr>
            <w:tcW w:type="dxa" w:w="1800"/>
            <w:vAlign w:val="top"/>
            <w:tcMar>
              <w:top w:w="80" w:type="dxa"/>
              <w:start w:w="120" w:type="dxa"/>
              <w:bottom w:w="80" w:type="dxa"/>
              <w:end w:w="120" w:type="dxa"/>
            </w:tcMar>
          </w:tcPr>
          <w:p>
            <w:pPr>
              <w:spacing w:after="0"/>
            </w:pPr>
            <w:r>
              <w:rPr>
                <w:sz w:val="18"/>
              </w:rPr>
              <w:t>401,945</w:t>
            </w:r>
          </w:p>
        </w:tc>
        <w:tc>
          <w:tcPr>
            <w:tcW w:type="dxa" w:w="2300"/>
            <w:vAlign w:val="top"/>
            <w:tcMar>
              <w:top w:w="80" w:type="dxa"/>
              <w:start w:w="120" w:type="dxa"/>
              <w:bottom w:w="80" w:type="dxa"/>
              <w:end w:w="120" w:type="dxa"/>
            </w:tcMar>
          </w:tcPr>
          <w:p>
            <w:pPr>
              <w:spacing w:after="0"/>
            </w:pPr>
            <w:r>
              <w:rPr>
                <w:sz w:val="18"/>
              </w:rPr>
              <w:t>8.7026%</w:t>
            </w:r>
          </w:p>
        </w:tc>
        <w:tc>
          <w:tcPr>
            <w:tcW w:type="dxa" w:w="2260"/>
            <w:vAlign w:val="top"/>
            <w:tcMar>
              <w:top w:w="80" w:type="dxa"/>
              <w:start w:w="120" w:type="dxa"/>
              <w:bottom w:w="80" w:type="dxa"/>
              <w:end w:w="120" w:type="dxa"/>
            </w:tcMar>
          </w:tcPr>
          <w:p>
            <w:pPr>
              <w:spacing w:after="0"/>
            </w:pPr>
            <w:r>
              <w:rPr>
                <w:sz w:val="18"/>
              </w:rPr>
              <w:t>$583,414,705</w:t>
            </w:r>
          </w:p>
        </w:tc>
      </w:tr>
      <w:tr>
        <w:trPr>
          <w:cantSplit/>
        </w:trPr>
        <w:tc>
          <w:tcPr>
            <w:tcW w:type="dxa" w:w="3000"/>
            <w:vAlign w:val="top"/>
            <w:tcMar>
              <w:top w:w="80" w:type="dxa"/>
              <w:start w:w="120" w:type="dxa"/>
              <w:bottom w:w="80" w:type="dxa"/>
              <w:end w:w="120" w:type="dxa"/>
            </w:tcMar>
          </w:tcPr>
          <w:p>
            <w:pPr>
              <w:spacing w:after="0"/>
            </w:pPr>
            <w:r>
              <w:rPr>
                <w:sz w:val="18"/>
              </w:rPr>
              <w:t>Cboe Options</w:t>
            </w:r>
          </w:p>
        </w:tc>
        <w:tc>
          <w:tcPr>
            <w:tcW w:type="dxa" w:w="1800"/>
            <w:vAlign w:val="top"/>
            <w:tcMar>
              <w:top w:w="80" w:type="dxa"/>
              <w:start w:w="120" w:type="dxa"/>
              <w:bottom w:w="80" w:type="dxa"/>
              <w:end w:w="120" w:type="dxa"/>
            </w:tcMar>
          </w:tcPr>
          <w:p>
            <w:pPr>
              <w:spacing w:after="0"/>
            </w:pPr>
            <w:r>
              <w:rPr>
                <w:sz w:val="18"/>
              </w:rPr>
              <w:t>357,829</w:t>
            </w:r>
          </w:p>
        </w:tc>
        <w:tc>
          <w:tcPr>
            <w:tcW w:type="dxa" w:w="2300"/>
            <w:vAlign w:val="top"/>
            <w:tcMar>
              <w:top w:w="80" w:type="dxa"/>
              <w:start w:w="120" w:type="dxa"/>
              <w:bottom w:w="80" w:type="dxa"/>
              <w:end w:w="120" w:type="dxa"/>
            </w:tcMar>
          </w:tcPr>
          <w:p>
            <w:pPr>
              <w:spacing w:after="0"/>
            </w:pPr>
            <w:r>
              <w:rPr>
                <w:sz w:val="18"/>
              </w:rPr>
              <w:t>7.7474%</w:t>
            </w:r>
          </w:p>
        </w:tc>
        <w:tc>
          <w:tcPr>
            <w:tcW w:type="dxa" w:w="2260"/>
            <w:vAlign w:val="top"/>
            <w:tcMar>
              <w:top w:w="80" w:type="dxa"/>
              <w:start w:w="120" w:type="dxa"/>
              <w:bottom w:w="80" w:type="dxa"/>
              <w:end w:w="120" w:type="dxa"/>
            </w:tcMar>
          </w:tcPr>
          <w:p>
            <w:pPr>
              <w:spacing w:after="0"/>
            </w:pPr>
            <w:r>
              <w:rPr>
                <w:sz w:val="18"/>
              </w:rPr>
              <w:t>$479,154,346</w:t>
            </w:r>
          </w:p>
        </w:tc>
      </w:tr>
    </w:tbl>
    <w:p>
      <w:pPr>
        <w:spacing w:after="0"/>
      </w:pPr>
    </w:p>
    <w:p>
      <w:r>
        <w:t>NYSE Arca Options was the largest single venue, but all 16 options exchanges handled AMC. Arca’s 12.82% share is significant; it is not market-wide exclusivity. Archived NYSE Arca lists name Citadel Securities for AMC in November 2018 and September 2021. That strongly supports assignment continuity but is not the missing June 2 daily snapshot.</w:t>
      </w:r>
    </w:p>
    <w:tbl>
      <w:tblPr>
        <w:tblStyle w:val="TableGrid"/>
        <w:tblW w:type="dxa" w:w="9360"/>
        <w:jc w:val="center"/>
        <w:tblLayout w:type="fixed"/>
        <w:tblLook w:firstColumn="1" w:firstRow="1" w:lastColumn="0" w:lastRow="0" w:noHBand="0" w:noVBand="1" w:val="04A0"/>
      </w:tblPr>
      <w:tblGrid>
        <w:gridCol w:w="2600"/>
        <w:gridCol w:w="1200"/>
        <w:gridCol w:w="1400"/>
        <w:gridCol w:w="1800"/>
        <w:gridCol w:w="2360"/>
      </w:tblGrid>
      <w:tr>
        <w:trPr>
          <w:trHeight w:hRule="atLeast"/>
          <w:tblHeader w:val="true"/>
        </w:trPr>
        <w:tc>
          <w:tcPr>
            <w:tcW w:type="dxa" w:w="2600"/>
            <w:shd w:fill="F2F4F7"/>
            <w:vAlign w:val="center"/>
            <w:tcMar>
              <w:top w:w="80" w:type="dxa"/>
              <w:start w:w="120" w:type="dxa"/>
              <w:bottom w:w="80" w:type="dxa"/>
              <w:end w:w="120" w:type="dxa"/>
            </w:tcMar>
          </w:tcPr>
          <w:p>
            <w:pPr>
              <w:spacing w:after="0"/>
            </w:pPr>
            <w:r>
              <w:rPr>
                <w:b/>
                <w:color w:val="17365D"/>
                <w:sz w:val="18"/>
              </w:rPr>
              <w:t>Window</w:t>
            </w:r>
          </w:p>
        </w:tc>
        <w:tc>
          <w:tcPr>
            <w:tcW w:type="dxa" w:w="1200"/>
            <w:shd w:fill="F2F4F7"/>
            <w:vAlign w:val="center"/>
            <w:tcMar>
              <w:top w:w="80" w:type="dxa"/>
              <w:start w:w="120" w:type="dxa"/>
              <w:bottom w:w="80" w:type="dxa"/>
              <w:end w:w="120" w:type="dxa"/>
            </w:tcMar>
          </w:tcPr>
          <w:p>
            <w:pPr>
              <w:spacing w:after="0"/>
            </w:pPr>
            <w:r>
              <w:rPr>
                <w:b/>
                <w:color w:val="17365D"/>
                <w:sz w:val="18"/>
              </w:rPr>
              <w:t>Trades</w:t>
            </w:r>
          </w:p>
        </w:tc>
        <w:tc>
          <w:tcPr>
            <w:tcW w:type="dxa" w:w="1400"/>
            <w:shd w:fill="F2F4F7"/>
            <w:vAlign w:val="center"/>
            <w:tcMar>
              <w:top w:w="80" w:type="dxa"/>
              <w:start w:w="120" w:type="dxa"/>
              <w:bottom w:w="80" w:type="dxa"/>
              <w:end w:w="120" w:type="dxa"/>
            </w:tcMar>
          </w:tcPr>
          <w:p>
            <w:pPr>
              <w:spacing w:after="0"/>
            </w:pPr>
            <w:r>
              <w:rPr>
                <w:b/>
                <w:color w:val="17365D"/>
                <w:sz w:val="18"/>
              </w:rPr>
              <w:t>Contracts</w:t>
            </w:r>
          </w:p>
        </w:tc>
        <w:tc>
          <w:tcPr>
            <w:tcW w:type="dxa" w:w="1800"/>
            <w:shd w:fill="F2F4F7"/>
            <w:vAlign w:val="center"/>
            <w:tcMar>
              <w:top w:w="80" w:type="dxa"/>
              <w:start w:w="120" w:type="dxa"/>
              <w:bottom w:w="80" w:type="dxa"/>
              <w:end w:w="120" w:type="dxa"/>
            </w:tcMar>
          </w:tcPr>
          <w:p>
            <w:pPr>
              <w:spacing w:after="0"/>
            </w:pPr>
            <w:r>
              <w:rPr>
                <w:b/>
                <w:color w:val="17365D"/>
                <w:sz w:val="18"/>
              </w:rPr>
              <w:t>Calls / puts</w:t>
            </w:r>
          </w:p>
        </w:tc>
        <w:tc>
          <w:tcPr>
            <w:tcW w:type="dxa" w:w="2360"/>
            <w:shd w:fill="F2F4F7"/>
            <w:vAlign w:val="center"/>
            <w:tcMar>
              <w:top w:w="80" w:type="dxa"/>
              <w:start w:w="120" w:type="dxa"/>
              <w:bottom w:w="80" w:type="dxa"/>
              <w:end w:w="120" w:type="dxa"/>
            </w:tcMar>
          </w:tcPr>
          <w:p>
            <w:pPr>
              <w:spacing w:after="0"/>
            </w:pPr>
            <w:r>
              <w:rPr>
                <w:b/>
                <w:color w:val="17365D"/>
                <w:sz w:val="18"/>
              </w:rPr>
              <w:t>Gross premium</w:t>
            </w:r>
          </w:p>
        </w:tc>
      </w:tr>
      <w:tr>
        <w:trPr>
          <w:cantSplit/>
        </w:trPr>
        <w:tc>
          <w:tcPr>
            <w:tcW w:type="dxa" w:w="2600"/>
            <w:vAlign w:val="top"/>
            <w:tcMar>
              <w:top w:w="80" w:type="dxa"/>
              <w:start w:w="120" w:type="dxa"/>
              <w:bottom w:w="80" w:type="dxa"/>
              <w:end w:w="120" w:type="dxa"/>
            </w:tcMar>
          </w:tcPr>
          <w:p>
            <w:pPr>
              <w:spacing w:after="0"/>
            </w:pPr>
            <w:r>
              <w:rPr>
                <w:sz w:val="18"/>
              </w:rPr>
              <w:t>First 0.807-second equity lead</w:t>
            </w:r>
          </w:p>
        </w:tc>
        <w:tc>
          <w:tcPr>
            <w:tcW w:type="dxa" w:w="1200"/>
            <w:vAlign w:val="top"/>
            <w:tcMar>
              <w:top w:w="80" w:type="dxa"/>
              <w:start w:w="120" w:type="dxa"/>
              <w:bottom w:w="80" w:type="dxa"/>
              <w:end w:w="120" w:type="dxa"/>
            </w:tcMar>
          </w:tcPr>
          <w:p>
            <w:pPr>
              <w:spacing w:after="0"/>
            </w:pPr>
            <w:r>
              <w:rPr>
                <w:sz w:val="18"/>
              </w:rPr>
              <w:t>61</w:t>
            </w:r>
          </w:p>
        </w:tc>
        <w:tc>
          <w:tcPr>
            <w:tcW w:type="dxa" w:w="1400"/>
            <w:vAlign w:val="top"/>
            <w:tcMar>
              <w:top w:w="80" w:type="dxa"/>
              <w:start w:w="120" w:type="dxa"/>
              <w:bottom w:w="80" w:type="dxa"/>
              <w:end w:w="120" w:type="dxa"/>
            </w:tcMar>
          </w:tcPr>
          <w:p>
            <w:pPr>
              <w:spacing w:after="0"/>
            </w:pPr>
            <w:r>
              <w:rPr>
                <w:sz w:val="18"/>
              </w:rPr>
              <w:t>180</w:t>
            </w:r>
          </w:p>
        </w:tc>
        <w:tc>
          <w:tcPr>
            <w:tcW w:type="dxa" w:w="1800"/>
            <w:vAlign w:val="top"/>
            <w:tcMar>
              <w:top w:w="80" w:type="dxa"/>
              <w:start w:w="120" w:type="dxa"/>
              <w:bottom w:w="80" w:type="dxa"/>
              <w:end w:w="120" w:type="dxa"/>
            </w:tcMar>
          </w:tcPr>
          <w:p>
            <w:pPr>
              <w:spacing w:after="0"/>
            </w:pPr>
            <w:r>
              <w:rPr>
                <w:sz w:val="18"/>
              </w:rPr>
              <w:t>92 / 88</w:t>
            </w:r>
          </w:p>
        </w:tc>
        <w:tc>
          <w:tcPr>
            <w:tcW w:type="dxa" w:w="2360"/>
            <w:vAlign w:val="top"/>
            <w:tcMar>
              <w:top w:w="80" w:type="dxa"/>
              <w:start w:w="120" w:type="dxa"/>
              <w:bottom w:w="80" w:type="dxa"/>
              <w:end w:w="120" w:type="dxa"/>
            </w:tcMar>
          </w:tcPr>
          <w:p>
            <w:pPr>
              <w:spacing w:after="0"/>
            </w:pPr>
            <w:r>
              <w:rPr>
                <w:sz w:val="18"/>
              </w:rPr>
              <w:t>$286,593</w:t>
            </w:r>
          </w:p>
        </w:tc>
      </w:tr>
      <w:tr>
        <w:trPr>
          <w:cantSplit/>
        </w:trPr>
        <w:tc>
          <w:tcPr>
            <w:tcW w:type="dxa" w:w="2600"/>
            <w:vAlign w:val="top"/>
            <w:tcMar>
              <w:top w:w="80" w:type="dxa"/>
              <w:start w:w="120" w:type="dxa"/>
              <w:bottom w:w="80" w:type="dxa"/>
              <w:end w:w="120" w:type="dxa"/>
            </w:tcMar>
          </w:tcPr>
          <w:p>
            <w:pPr>
              <w:spacing w:after="0"/>
            </w:pPr>
            <w:r>
              <w:rPr>
                <w:sz w:val="18"/>
              </w:rPr>
              <w:t>Second 3.895-second equity lead</w:t>
            </w:r>
          </w:p>
        </w:tc>
        <w:tc>
          <w:tcPr>
            <w:tcW w:type="dxa" w:w="1200"/>
            <w:vAlign w:val="top"/>
            <w:tcMar>
              <w:top w:w="80" w:type="dxa"/>
              <w:start w:w="120" w:type="dxa"/>
              <w:bottom w:w="80" w:type="dxa"/>
              <w:end w:w="120" w:type="dxa"/>
            </w:tcMar>
          </w:tcPr>
          <w:p>
            <w:pPr>
              <w:spacing w:after="0"/>
            </w:pPr>
            <w:r>
              <w:rPr>
                <w:sz w:val="18"/>
              </w:rPr>
              <w:t>131</w:t>
            </w:r>
          </w:p>
        </w:tc>
        <w:tc>
          <w:tcPr>
            <w:tcW w:type="dxa" w:w="1400"/>
            <w:vAlign w:val="top"/>
            <w:tcMar>
              <w:top w:w="80" w:type="dxa"/>
              <w:start w:w="120" w:type="dxa"/>
              <w:bottom w:w="80" w:type="dxa"/>
              <w:end w:w="120" w:type="dxa"/>
            </w:tcMar>
          </w:tcPr>
          <w:p>
            <w:pPr>
              <w:spacing w:after="0"/>
            </w:pPr>
            <w:r>
              <w:rPr>
                <w:sz w:val="18"/>
              </w:rPr>
              <w:t>780</w:t>
            </w:r>
          </w:p>
        </w:tc>
        <w:tc>
          <w:tcPr>
            <w:tcW w:type="dxa" w:w="1800"/>
            <w:vAlign w:val="top"/>
            <w:tcMar>
              <w:top w:w="80" w:type="dxa"/>
              <w:start w:w="120" w:type="dxa"/>
              <w:bottom w:w="80" w:type="dxa"/>
              <w:end w:w="120" w:type="dxa"/>
            </w:tcMar>
          </w:tcPr>
          <w:p>
            <w:pPr>
              <w:spacing w:after="0"/>
            </w:pPr>
            <w:r>
              <w:rPr>
                <w:sz w:val="18"/>
              </w:rPr>
              <w:t>538 / 242</w:t>
            </w:r>
          </w:p>
        </w:tc>
        <w:tc>
          <w:tcPr>
            <w:tcW w:type="dxa" w:w="2360"/>
            <w:vAlign w:val="top"/>
            <w:tcMar>
              <w:top w:w="80" w:type="dxa"/>
              <w:start w:w="120" w:type="dxa"/>
              <w:bottom w:w="80" w:type="dxa"/>
              <w:end w:w="120" w:type="dxa"/>
            </w:tcMar>
          </w:tcPr>
          <w:p>
            <w:pPr>
              <w:spacing w:after="0"/>
            </w:pPr>
            <w:r>
              <w:rPr>
                <w:sz w:val="18"/>
              </w:rPr>
              <w:t>$1,206,681</w:t>
            </w:r>
          </w:p>
        </w:tc>
      </w:tr>
      <w:tr>
        <w:trPr>
          <w:cantSplit/>
        </w:trPr>
        <w:tc>
          <w:tcPr>
            <w:tcW w:type="dxa" w:w="2600"/>
            <w:vAlign w:val="top"/>
            <w:tcMar>
              <w:top w:w="80" w:type="dxa"/>
              <w:start w:w="120" w:type="dxa"/>
              <w:bottom w:w="80" w:type="dxa"/>
              <w:end w:w="120" w:type="dxa"/>
            </w:tcMar>
          </w:tcPr>
          <w:p>
            <w:pPr>
              <w:spacing w:after="0"/>
            </w:pPr>
            <w:r>
              <w:rPr>
                <w:sz w:val="18"/>
              </w:rPr>
              <w:t>±5 minutes around lead 1</w:t>
            </w:r>
          </w:p>
        </w:tc>
        <w:tc>
          <w:tcPr>
            <w:tcW w:type="dxa" w:w="1200"/>
            <w:vAlign w:val="top"/>
            <w:tcMar>
              <w:top w:w="80" w:type="dxa"/>
              <w:start w:w="120" w:type="dxa"/>
              <w:bottom w:w="80" w:type="dxa"/>
              <w:end w:w="120" w:type="dxa"/>
            </w:tcMar>
          </w:tcPr>
          <w:p>
            <w:pPr>
              <w:spacing w:after="0"/>
            </w:pPr>
            <w:r>
              <w:rPr>
                <w:sz w:val="18"/>
              </w:rPr>
              <w:t>48,761</w:t>
            </w:r>
          </w:p>
        </w:tc>
        <w:tc>
          <w:tcPr>
            <w:tcW w:type="dxa" w:w="1400"/>
            <w:vAlign w:val="top"/>
            <w:tcMar>
              <w:top w:w="80" w:type="dxa"/>
              <w:start w:w="120" w:type="dxa"/>
              <w:bottom w:w="80" w:type="dxa"/>
              <w:end w:w="120" w:type="dxa"/>
            </w:tcMar>
          </w:tcPr>
          <w:p>
            <w:pPr>
              <w:spacing w:after="0"/>
            </w:pPr>
            <w:r>
              <w:rPr>
                <w:sz w:val="18"/>
              </w:rPr>
              <w:t>205,354</w:t>
            </w:r>
          </w:p>
        </w:tc>
        <w:tc>
          <w:tcPr>
            <w:tcW w:type="dxa" w:w="1800"/>
            <w:vAlign w:val="top"/>
            <w:tcMar>
              <w:top w:w="80" w:type="dxa"/>
              <w:start w:w="120" w:type="dxa"/>
              <w:bottom w:w="80" w:type="dxa"/>
              <w:end w:w="120" w:type="dxa"/>
            </w:tcMar>
          </w:tcPr>
          <w:p>
            <w:pPr>
              <w:spacing w:after="0"/>
            </w:pPr>
            <w:r>
              <w:rPr>
                <w:sz w:val="18"/>
              </w:rPr>
              <w:t>138,968 / 66,386</w:t>
            </w:r>
          </w:p>
        </w:tc>
        <w:tc>
          <w:tcPr>
            <w:tcW w:type="dxa" w:w="2360"/>
            <w:vAlign w:val="top"/>
            <w:tcMar>
              <w:top w:w="80" w:type="dxa"/>
              <w:start w:w="120" w:type="dxa"/>
              <w:bottom w:w="80" w:type="dxa"/>
              <w:end w:w="120" w:type="dxa"/>
            </w:tcMar>
          </w:tcPr>
          <w:p>
            <w:pPr>
              <w:spacing w:after="0"/>
            </w:pPr>
            <w:r>
              <w:rPr>
                <w:sz w:val="18"/>
              </w:rPr>
              <w:t>$402,581,891</w:t>
            </w:r>
          </w:p>
        </w:tc>
      </w:tr>
      <w:tr>
        <w:trPr>
          <w:cantSplit/>
        </w:trPr>
        <w:tc>
          <w:tcPr>
            <w:tcW w:type="dxa" w:w="2600"/>
            <w:vAlign w:val="top"/>
            <w:tcMar>
              <w:top w:w="80" w:type="dxa"/>
              <w:start w:w="120" w:type="dxa"/>
              <w:bottom w:w="80" w:type="dxa"/>
              <w:end w:w="120" w:type="dxa"/>
            </w:tcMar>
          </w:tcPr>
          <w:p>
            <w:pPr>
              <w:spacing w:after="0"/>
            </w:pPr>
            <w:r>
              <w:rPr>
                <w:sz w:val="18"/>
              </w:rPr>
              <w:t>±5 minutes around lead 2</w:t>
            </w:r>
          </w:p>
        </w:tc>
        <w:tc>
          <w:tcPr>
            <w:tcW w:type="dxa" w:w="1200"/>
            <w:vAlign w:val="top"/>
            <w:tcMar>
              <w:top w:w="80" w:type="dxa"/>
              <w:start w:w="120" w:type="dxa"/>
              <w:bottom w:w="80" w:type="dxa"/>
              <w:end w:w="120" w:type="dxa"/>
            </w:tcMar>
          </w:tcPr>
          <w:p>
            <w:pPr>
              <w:spacing w:after="0"/>
            </w:pPr>
            <w:r>
              <w:rPr>
                <w:sz w:val="18"/>
              </w:rPr>
              <w:t>24,620</w:t>
            </w:r>
          </w:p>
        </w:tc>
        <w:tc>
          <w:tcPr>
            <w:tcW w:type="dxa" w:w="1400"/>
            <w:vAlign w:val="top"/>
            <w:tcMar>
              <w:top w:w="80" w:type="dxa"/>
              <w:start w:w="120" w:type="dxa"/>
              <w:bottom w:w="80" w:type="dxa"/>
              <w:end w:w="120" w:type="dxa"/>
            </w:tcMar>
          </w:tcPr>
          <w:p>
            <w:pPr>
              <w:spacing w:after="0"/>
            </w:pPr>
            <w:r>
              <w:rPr>
                <w:sz w:val="18"/>
              </w:rPr>
              <w:t>128,377</w:t>
            </w:r>
          </w:p>
        </w:tc>
        <w:tc>
          <w:tcPr>
            <w:tcW w:type="dxa" w:w="1800"/>
            <w:vAlign w:val="top"/>
            <w:tcMar>
              <w:top w:w="80" w:type="dxa"/>
              <w:start w:w="120" w:type="dxa"/>
              <w:bottom w:w="80" w:type="dxa"/>
              <w:end w:w="120" w:type="dxa"/>
            </w:tcMar>
          </w:tcPr>
          <w:p>
            <w:pPr>
              <w:spacing w:after="0"/>
            </w:pPr>
            <w:r>
              <w:rPr>
                <w:sz w:val="18"/>
              </w:rPr>
              <w:t>83,851 / 44,526</w:t>
            </w:r>
          </w:p>
        </w:tc>
        <w:tc>
          <w:tcPr>
            <w:tcW w:type="dxa" w:w="2360"/>
            <w:vAlign w:val="top"/>
            <w:tcMar>
              <w:top w:w="80" w:type="dxa"/>
              <w:start w:w="120" w:type="dxa"/>
              <w:bottom w:w="80" w:type="dxa"/>
              <w:end w:w="120" w:type="dxa"/>
            </w:tcMar>
          </w:tcPr>
          <w:p>
            <w:pPr>
              <w:spacing w:after="0"/>
            </w:pPr>
            <w:r>
              <w:rPr>
                <w:sz w:val="18"/>
              </w:rPr>
              <w:t>$252,863,887</w:t>
            </w:r>
          </w:p>
        </w:tc>
      </w:tr>
    </w:tbl>
    <w:p>
      <w:pPr>
        <w:spacing w:after="0"/>
      </w:pP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EDF3F8"/>
            <w:tcBorders>
              <w:left w:val="single" w:sz="24" w:color="2E74B5"/>
            </w:tcBorders>
          </w:tcPr>
          <w:p>
            <w:pPr>
              <w:spacing w:after="80"/>
            </w:pPr>
            <w:r>
              <w:rPr>
                <w:b/>
                <w:color w:val="2E74B5"/>
                <w:sz w:val="20"/>
              </w:rPr>
              <w:t>OPTIONS LIMITATION</w:t>
            </w:r>
          </w:p>
          <w:p>
            <w:pPr>
              <w:spacing w:after="0"/>
            </w:pPr>
            <w:r>
              <w:t>The prints establish exceptional options activity near the equity episodes. Without customer/firm side, open-close indicator, CMTA/give-up, exercise assignment, and the market maker’s inventory/Greeks, the data cannot prove a Citadel hedge motive or a directional options strategy.</w:t>
            </w:r>
          </w:p>
        </w:tc>
      </w:tr>
    </w:tbl>
    <w:p>
      <w:pPr>
        <w:spacing w:after="0"/>
      </w:pPr>
    </w:p>
    <w:p>
      <w:pPr>
        <w:pStyle w:val="Heading1"/>
      </w:pPr>
      <w:r>
        <w:t>5. Citadel Securities: proved footprint and missing event link</w:t>
      </w:r>
    </w:p>
    <w:p>
      <w:pPr>
        <w:pStyle w:val="Heading2"/>
      </w:pPr>
      <w:r>
        <w:t>5.1 Official assignment chain</w:t>
      </w:r>
    </w:p>
    <w:p>
      <w:pPr>
        <w:pStyle w:val="ListBullet"/>
      </w:pPr>
      <w:r>
        <w:t>October 19, 2020 NYSE Security Master: AMC DMM Firm Name = Citadel Securities LLC; clearing symbol CDRG; clearing number 8430.</w:t>
      </w:r>
    </w:p>
    <w:p>
      <w:pPr>
        <w:pStyle w:val="ListBullet"/>
      </w:pPr>
      <w:r>
        <w:t>November 24, 2018 NYSE Arca EligibleOptions record: AMC = Citadel Securities LLC.</w:t>
      </w:r>
    </w:p>
    <w:p>
      <w:pPr>
        <w:pStyle w:val="ListBullet"/>
      </w:pPr>
      <w:r>
        <w:t>September 5, 2021 NYSE Arca EligibleOptions record: AMC = Citadel Securities LLC, 95 days after June 2.</w:t>
      </w:r>
    </w:p>
    <w:p>
      <w:pPr>
        <w:pStyle w:val="ListBullet"/>
      </w:pPr>
      <w:r>
        <w:t>September 27, 2022 NYSE Premium Equity Security Master again identifies Citadel Securities as AMC’s DMM.</w:t>
      </w:r>
    </w:p>
    <w:p>
      <w:r>
        <w:t>These sources establish formal AMC assignments. They do not establish that Citadel controlled trading on other exchanges, initiated the reconstructed cancellations, or was the contra-party to every AMC option print.</w:t>
      </w:r>
    </w:p>
    <w:p>
      <w:pPr>
        <w:pStyle w:val="Heading2"/>
      </w:pPr>
      <w:r>
        <w:t>5.2 June 2021 AMC Rule 605 totals</w:t>
      </w:r>
    </w:p>
    <w:tbl>
      <w:tblPr>
        <w:tblStyle w:val="TableGrid"/>
        <w:tblW w:type="dxa" w:w="9360"/>
        <w:jc w:val="center"/>
        <w:tblLayout w:type="fixed"/>
        <w:tblLook w:firstColumn="1" w:firstRow="1" w:lastColumn="0" w:lastRow="0" w:noHBand="0" w:noVBand="1" w:val="04A0"/>
      </w:tblPr>
      <w:tblGrid>
        <w:gridCol w:w="2600"/>
        <w:gridCol w:w="2100"/>
        <w:gridCol w:w="1900"/>
        <w:gridCol w:w="2760"/>
      </w:tblGrid>
      <w:tr>
        <w:trPr>
          <w:trHeight w:hRule="atLeast"/>
          <w:tblHeader w:val="true"/>
        </w:trPr>
        <w:tc>
          <w:tcPr>
            <w:tcW w:type="dxa" w:w="2600"/>
            <w:shd w:fill="F2F4F7"/>
            <w:vAlign w:val="center"/>
            <w:tcMar>
              <w:top w:w="80" w:type="dxa"/>
              <w:start w:w="120" w:type="dxa"/>
              <w:bottom w:w="80" w:type="dxa"/>
              <w:end w:w="120" w:type="dxa"/>
            </w:tcMar>
          </w:tcPr>
          <w:p>
            <w:pPr>
              <w:spacing w:after="0"/>
            </w:pPr>
            <w:r>
              <w:rPr>
                <w:b/>
                <w:color w:val="17365D"/>
                <w:sz w:val="18"/>
              </w:rPr>
              <w:t>Measure</w:t>
            </w:r>
          </w:p>
        </w:tc>
        <w:tc>
          <w:tcPr>
            <w:tcW w:type="dxa" w:w="2100"/>
            <w:shd w:fill="F2F4F7"/>
            <w:vAlign w:val="center"/>
            <w:tcMar>
              <w:top w:w="80" w:type="dxa"/>
              <w:start w:w="120" w:type="dxa"/>
              <w:bottom w:w="80" w:type="dxa"/>
              <w:end w:w="120" w:type="dxa"/>
            </w:tcMar>
          </w:tcPr>
          <w:p>
            <w:pPr>
              <w:spacing w:after="0"/>
            </w:pPr>
            <w:r>
              <w:rPr>
                <w:b/>
                <w:color w:val="17365D"/>
                <w:sz w:val="18"/>
              </w:rPr>
              <w:t>AMC total</w:t>
            </w:r>
          </w:p>
        </w:tc>
        <w:tc>
          <w:tcPr>
            <w:tcW w:type="dxa" w:w="1900"/>
            <w:shd w:fill="F2F4F7"/>
            <w:vAlign w:val="center"/>
            <w:tcMar>
              <w:top w:w="80" w:type="dxa"/>
              <w:start w:w="120" w:type="dxa"/>
              <w:bottom w:w="80" w:type="dxa"/>
              <w:end w:w="120" w:type="dxa"/>
            </w:tcMar>
          </w:tcPr>
          <w:p>
            <w:pPr>
              <w:spacing w:after="0"/>
            </w:pPr>
            <w:r>
              <w:rPr>
                <w:b/>
                <w:color w:val="17365D"/>
                <w:sz w:val="18"/>
              </w:rPr>
              <w:t>% of shares represented</w:t>
            </w:r>
          </w:p>
        </w:tc>
        <w:tc>
          <w:tcPr>
            <w:tcW w:type="dxa" w:w="2760"/>
            <w:shd w:fill="F2F4F7"/>
            <w:vAlign w:val="center"/>
            <w:tcMar>
              <w:top w:w="80" w:type="dxa"/>
              <w:start w:w="120" w:type="dxa"/>
              <w:bottom w:w="80" w:type="dxa"/>
              <w:end w:w="120" w:type="dxa"/>
            </w:tcMar>
          </w:tcPr>
          <w:p>
            <w:pPr>
              <w:spacing w:after="0"/>
            </w:pPr>
            <w:r>
              <w:rPr>
                <w:b/>
                <w:color w:val="17365D"/>
                <w:sz w:val="18"/>
              </w:rPr>
              <w:t>Correct interpretation</w:t>
            </w:r>
          </w:p>
        </w:tc>
      </w:tr>
      <w:tr>
        <w:trPr>
          <w:cantSplit/>
        </w:trPr>
        <w:tc>
          <w:tcPr>
            <w:tcW w:type="dxa" w:w="2600"/>
            <w:vAlign w:val="top"/>
            <w:tcMar>
              <w:top w:w="80" w:type="dxa"/>
              <w:start w:w="120" w:type="dxa"/>
              <w:bottom w:w="80" w:type="dxa"/>
              <w:end w:w="120" w:type="dxa"/>
            </w:tcMar>
          </w:tcPr>
          <w:p>
            <w:pPr>
              <w:spacing w:after="0"/>
            </w:pPr>
            <w:r>
              <w:rPr>
                <w:sz w:val="18"/>
              </w:rPr>
              <w:t>Covered orders</w:t>
            </w:r>
          </w:p>
        </w:tc>
        <w:tc>
          <w:tcPr>
            <w:tcW w:type="dxa" w:w="2100"/>
            <w:vAlign w:val="top"/>
            <w:tcMar>
              <w:top w:w="80" w:type="dxa"/>
              <w:start w:w="120" w:type="dxa"/>
              <w:bottom w:w="80" w:type="dxa"/>
              <w:end w:w="120" w:type="dxa"/>
            </w:tcMar>
          </w:tcPr>
          <w:p>
            <w:pPr>
              <w:spacing w:after="0"/>
            </w:pPr>
            <w:r>
              <w:rPr>
                <w:sz w:val="18"/>
              </w:rPr>
              <w:t>3,111,546</w:t>
            </w:r>
          </w:p>
        </w:tc>
        <w:tc>
          <w:tcPr>
            <w:tcW w:type="dxa" w:w="1900"/>
            <w:vAlign w:val="top"/>
            <w:tcMar>
              <w:top w:w="80" w:type="dxa"/>
              <w:start w:w="120" w:type="dxa"/>
              <w:bottom w:w="80" w:type="dxa"/>
              <w:end w:w="120" w:type="dxa"/>
            </w:tcMar>
          </w:tcPr>
          <w:p>
            <w:pPr>
              <w:spacing w:after="0"/>
            </w:pPr>
            <w:r>
              <w:rPr>
                <w:sz w:val="18"/>
              </w:rPr>
              <w:t>—</w:t>
            </w:r>
          </w:p>
        </w:tc>
        <w:tc>
          <w:tcPr>
            <w:tcW w:type="dxa" w:w="2760"/>
            <w:vAlign w:val="top"/>
            <w:tcMar>
              <w:top w:w="80" w:type="dxa"/>
              <w:start w:w="120" w:type="dxa"/>
              <w:bottom w:w="80" w:type="dxa"/>
              <w:end w:w="120" w:type="dxa"/>
            </w:tcMar>
          </w:tcPr>
          <w:p>
            <w:pPr>
              <w:spacing w:after="0"/>
            </w:pPr>
            <w:r>
              <w:rPr>
                <w:sz w:val="18"/>
              </w:rPr>
              <w:t>Specified customer-order categories received by Citadel</w:t>
            </w:r>
          </w:p>
        </w:tc>
      </w:tr>
      <w:tr>
        <w:trPr>
          <w:cantSplit/>
        </w:trPr>
        <w:tc>
          <w:tcPr>
            <w:tcW w:type="dxa" w:w="2600"/>
            <w:vAlign w:val="top"/>
            <w:tcMar>
              <w:top w:w="80" w:type="dxa"/>
              <w:start w:w="120" w:type="dxa"/>
              <w:bottom w:w="80" w:type="dxa"/>
              <w:end w:w="120" w:type="dxa"/>
            </w:tcMar>
          </w:tcPr>
          <w:p>
            <w:pPr>
              <w:spacing w:after="0"/>
            </w:pPr>
            <w:r>
              <w:rPr>
                <w:sz w:val="18"/>
              </w:rPr>
              <w:t>Shares represented</w:t>
            </w:r>
          </w:p>
        </w:tc>
        <w:tc>
          <w:tcPr>
            <w:tcW w:type="dxa" w:w="2100"/>
            <w:vAlign w:val="top"/>
            <w:tcMar>
              <w:top w:w="80" w:type="dxa"/>
              <w:start w:w="120" w:type="dxa"/>
              <w:bottom w:w="80" w:type="dxa"/>
              <w:end w:w="120" w:type="dxa"/>
            </w:tcMar>
          </w:tcPr>
          <w:p>
            <w:pPr>
              <w:spacing w:after="0"/>
            </w:pPr>
            <w:r>
              <w:rPr>
                <w:sz w:val="18"/>
              </w:rPr>
              <w:t>1,611,170,621</w:t>
            </w:r>
          </w:p>
        </w:tc>
        <w:tc>
          <w:tcPr>
            <w:tcW w:type="dxa" w:w="1900"/>
            <w:vAlign w:val="top"/>
            <w:tcMar>
              <w:top w:w="80" w:type="dxa"/>
              <w:start w:w="120" w:type="dxa"/>
              <w:bottom w:w="80" w:type="dxa"/>
              <w:end w:w="120" w:type="dxa"/>
            </w:tcMar>
          </w:tcPr>
          <w:p>
            <w:pPr>
              <w:spacing w:after="0"/>
            </w:pPr>
            <w:r>
              <w:rPr>
                <w:sz w:val="18"/>
              </w:rPr>
              <w:t>100.0000%</w:t>
            </w:r>
          </w:p>
        </w:tc>
        <w:tc>
          <w:tcPr>
            <w:tcW w:type="dxa" w:w="2760"/>
            <w:vAlign w:val="top"/>
            <w:tcMar>
              <w:top w:w="80" w:type="dxa"/>
              <w:start w:w="120" w:type="dxa"/>
              <w:bottom w:w="80" w:type="dxa"/>
              <w:end w:w="120" w:type="dxa"/>
            </w:tcMar>
          </w:tcPr>
          <w:p>
            <w:pPr>
              <w:spacing w:after="0"/>
            </w:pPr>
            <w:r>
              <w:rPr>
                <w:sz w:val="18"/>
              </w:rPr>
              <w:t>Gross monthly covered-order shares, not unique shares</w:t>
            </w:r>
          </w:p>
        </w:tc>
      </w:tr>
      <w:tr>
        <w:trPr>
          <w:cantSplit/>
        </w:trPr>
        <w:tc>
          <w:tcPr>
            <w:tcW w:type="dxa" w:w="2600"/>
            <w:vAlign w:val="top"/>
            <w:tcMar>
              <w:top w:w="80" w:type="dxa"/>
              <w:start w:w="120" w:type="dxa"/>
              <w:bottom w:w="80" w:type="dxa"/>
              <w:end w:w="120" w:type="dxa"/>
            </w:tcMar>
          </w:tcPr>
          <w:p>
            <w:pPr>
              <w:spacing w:after="0"/>
            </w:pPr>
            <w:r>
              <w:rPr>
                <w:sz w:val="18"/>
              </w:rPr>
              <w:t>Canceled before execution</w:t>
            </w:r>
          </w:p>
        </w:tc>
        <w:tc>
          <w:tcPr>
            <w:tcW w:type="dxa" w:w="2100"/>
            <w:vAlign w:val="top"/>
            <w:tcMar>
              <w:top w:w="80" w:type="dxa"/>
              <w:start w:w="120" w:type="dxa"/>
              <w:bottom w:w="80" w:type="dxa"/>
              <w:end w:w="120" w:type="dxa"/>
            </w:tcMar>
          </w:tcPr>
          <w:p>
            <w:pPr>
              <w:spacing w:after="0"/>
            </w:pPr>
            <w:r>
              <w:rPr>
                <w:sz w:val="18"/>
              </w:rPr>
              <w:t>648,352,983</w:t>
            </w:r>
          </w:p>
        </w:tc>
        <w:tc>
          <w:tcPr>
            <w:tcW w:type="dxa" w:w="1900"/>
            <w:vAlign w:val="top"/>
            <w:tcMar>
              <w:top w:w="80" w:type="dxa"/>
              <w:start w:w="120" w:type="dxa"/>
              <w:bottom w:w="80" w:type="dxa"/>
              <w:end w:w="120" w:type="dxa"/>
            </w:tcMar>
          </w:tcPr>
          <w:p>
            <w:pPr>
              <w:spacing w:after="0"/>
            </w:pPr>
            <w:r>
              <w:rPr>
                <w:sz w:val="18"/>
              </w:rPr>
              <w:t>40.2411%</w:t>
            </w:r>
          </w:p>
        </w:tc>
        <w:tc>
          <w:tcPr>
            <w:tcW w:type="dxa" w:w="2760"/>
            <w:vAlign w:val="top"/>
            <w:tcMar>
              <w:top w:w="80" w:type="dxa"/>
              <w:start w:w="120" w:type="dxa"/>
              <w:bottom w:w="80" w:type="dxa"/>
              <w:end w:w="120" w:type="dxa"/>
            </w:tcMar>
          </w:tcPr>
          <w:p>
            <w:pPr>
              <w:spacing w:after="0"/>
            </w:pPr>
            <w:r>
              <w:rPr>
                <w:sz w:val="18"/>
              </w:rPr>
              <w:t>Does not identify who canceled or why</w:t>
            </w:r>
          </w:p>
        </w:tc>
      </w:tr>
      <w:tr>
        <w:trPr>
          <w:cantSplit/>
        </w:trPr>
        <w:tc>
          <w:tcPr>
            <w:tcW w:type="dxa" w:w="2600"/>
            <w:vAlign w:val="top"/>
            <w:tcMar>
              <w:top w:w="80" w:type="dxa"/>
              <w:start w:w="120" w:type="dxa"/>
              <w:bottom w:w="80" w:type="dxa"/>
              <w:end w:w="120" w:type="dxa"/>
            </w:tcMar>
          </w:tcPr>
          <w:p>
            <w:pPr>
              <w:spacing w:after="0"/>
            </w:pPr>
            <w:r>
              <w:rPr>
                <w:sz w:val="18"/>
              </w:rPr>
              <w:t>Executed at Citadel</w:t>
            </w:r>
          </w:p>
        </w:tc>
        <w:tc>
          <w:tcPr>
            <w:tcW w:type="dxa" w:w="2100"/>
            <w:vAlign w:val="top"/>
            <w:tcMar>
              <w:top w:w="80" w:type="dxa"/>
              <w:start w:w="120" w:type="dxa"/>
              <w:bottom w:w="80" w:type="dxa"/>
              <w:end w:w="120" w:type="dxa"/>
            </w:tcMar>
          </w:tcPr>
          <w:p>
            <w:pPr>
              <w:spacing w:after="0"/>
            </w:pPr>
            <w:r>
              <w:rPr>
                <w:sz w:val="18"/>
              </w:rPr>
              <w:t>954,232,368</w:t>
            </w:r>
          </w:p>
        </w:tc>
        <w:tc>
          <w:tcPr>
            <w:tcW w:type="dxa" w:w="1900"/>
            <w:vAlign w:val="top"/>
            <w:tcMar>
              <w:top w:w="80" w:type="dxa"/>
              <w:start w:w="120" w:type="dxa"/>
              <w:bottom w:w="80" w:type="dxa"/>
              <w:end w:w="120" w:type="dxa"/>
            </w:tcMar>
          </w:tcPr>
          <w:p>
            <w:pPr>
              <w:spacing w:after="0"/>
            </w:pPr>
            <w:r>
              <w:rPr>
                <w:sz w:val="18"/>
              </w:rPr>
              <w:t>59.2260%</w:t>
            </w:r>
          </w:p>
        </w:tc>
        <w:tc>
          <w:tcPr>
            <w:tcW w:type="dxa" w:w="2760"/>
            <w:vAlign w:val="top"/>
            <w:tcMar>
              <w:top w:w="80" w:type="dxa"/>
              <w:start w:w="120" w:type="dxa"/>
              <w:bottom w:w="80" w:type="dxa"/>
              <w:end w:w="120" w:type="dxa"/>
            </w:tcMar>
          </w:tcPr>
          <w:p>
            <w:pPr>
              <w:spacing w:after="0"/>
            </w:pPr>
            <w:r>
              <w:rPr>
                <w:sz w:val="18"/>
              </w:rPr>
              <w:t>Large Citadel execution footprint</w:t>
            </w:r>
          </w:p>
        </w:tc>
      </w:tr>
      <w:tr>
        <w:trPr>
          <w:cantSplit/>
        </w:trPr>
        <w:tc>
          <w:tcPr>
            <w:tcW w:type="dxa" w:w="2600"/>
            <w:vAlign w:val="top"/>
            <w:tcMar>
              <w:top w:w="80" w:type="dxa"/>
              <w:start w:w="120" w:type="dxa"/>
              <w:bottom w:w="80" w:type="dxa"/>
              <w:end w:w="120" w:type="dxa"/>
            </w:tcMar>
          </w:tcPr>
          <w:p>
            <w:pPr>
              <w:spacing w:after="0"/>
            </w:pPr>
            <w:r>
              <w:rPr>
                <w:sz w:val="18"/>
              </w:rPr>
              <w:t>Executed elsewhere</w:t>
            </w:r>
          </w:p>
        </w:tc>
        <w:tc>
          <w:tcPr>
            <w:tcW w:type="dxa" w:w="2100"/>
            <w:vAlign w:val="top"/>
            <w:tcMar>
              <w:top w:w="80" w:type="dxa"/>
              <w:start w:w="120" w:type="dxa"/>
              <w:bottom w:w="80" w:type="dxa"/>
              <w:end w:w="120" w:type="dxa"/>
            </w:tcMar>
          </w:tcPr>
          <w:p>
            <w:pPr>
              <w:spacing w:after="0"/>
            </w:pPr>
            <w:r>
              <w:rPr>
                <w:sz w:val="18"/>
              </w:rPr>
              <w:t>8,276,661</w:t>
            </w:r>
          </w:p>
        </w:tc>
        <w:tc>
          <w:tcPr>
            <w:tcW w:type="dxa" w:w="1900"/>
            <w:vAlign w:val="top"/>
            <w:tcMar>
              <w:top w:w="80" w:type="dxa"/>
              <w:start w:w="120" w:type="dxa"/>
              <w:bottom w:w="80" w:type="dxa"/>
              <w:end w:w="120" w:type="dxa"/>
            </w:tcMar>
          </w:tcPr>
          <w:p>
            <w:pPr>
              <w:spacing w:after="0"/>
            </w:pPr>
            <w:r>
              <w:rPr>
                <w:sz w:val="18"/>
              </w:rPr>
              <w:t>0.5137%</w:t>
            </w:r>
          </w:p>
        </w:tc>
        <w:tc>
          <w:tcPr>
            <w:tcW w:type="dxa" w:w="2760"/>
            <w:vAlign w:val="top"/>
            <w:tcMar>
              <w:top w:w="80" w:type="dxa"/>
              <w:start w:w="120" w:type="dxa"/>
              <w:bottom w:w="80" w:type="dxa"/>
              <w:end w:w="120" w:type="dxa"/>
            </w:tcMar>
          </w:tcPr>
          <w:p>
            <w:pPr>
              <w:spacing w:after="0"/>
            </w:pPr>
            <w:r>
              <w:rPr>
                <w:sz w:val="18"/>
              </w:rPr>
              <w:t>Routed-away execution; no venue or time in public file</w:t>
            </w:r>
          </w:p>
        </w:tc>
      </w:tr>
      <w:tr>
        <w:trPr>
          <w:cantSplit/>
        </w:trPr>
        <w:tc>
          <w:tcPr>
            <w:tcW w:type="dxa" w:w="2600"/>
            <w:vAlign w:val="top"/>
            <w:tcMar>
              <w:top w:w="80" w:type="dxa"/>
              <w:start w:w="120" w:type="dxa"/>
              <w:bottom w:w="80" w:type="dxa"/>
              <w:end w:w="120" w:type="dxa"/>
            </w:tcMar>
          </w:tcPr>
          <w:p>
            <w:pPr>
              <w:spacing w:after="0"/>
            </w:pPr>
            <w:r>
              <w:rPr>
                <w:sz w:val="18"/>
              </w:rPr>
              <w:t>Unresolved residual</w:t>
            </w:r>
          </w:p>
        </w:tc>
        <w:tc>
          <w:tcPr>
            <w:tcW w:type="dxa" w:w="2100"/>
            <w:vAlign w:val="top"/>
            <w:tcMar>
              <w:top w:w="80" w:type="dxa"/>
              <w:start w:w="120" w:type="dxa"/>
              <w:bottom w:w="80" w:type="dxa"/>
              <w:end w:w="120" w:type="dxa"/>
            </w:tcMar>
          </w:tcPr>
          <w:p>
            <w:pPr>
              <w:spacing w:after="0"/>
            </w:pPr>
            <w:r>
              <w:rPr>
                <w:sz w:val="18"/>
              </w:rPr>
              <w:t>308,609</w:t>
            </w:r>
          </w:p>
        </w:tc>
        <w:tc>
          <w:tcPr>
            <w:tcW w:type="dxa" w:w="1900"/>
            <w:vAlign w:val="top"/>
            <w:tcMar>
              <w:top w:w="80" w:type="dxa"/>
              <w:start w:w="120" w:type="dxa"/>
              <w:bottom w:w="80" w:type="dxa"/>
              <w:end w:w="120" w:type="dxa"/>
            </w:tcMar>
          </w:tcPr>
          <w:p>
            <w:pPr>
              <w:spacing w:after="0"/>
            </w:pPr>
            <w:r>
              <w:rPr>
                <w:sz w:val="18"/>
              </w:rPr>
              <w:t>0.0192%</w:t>
            </w:r>
          </w:p>
        </w:tc>
        <w:tc>
          <w:tcPr>
            <w:tcW w:type="dxa" w:w="2760"/>
            <w:vAlign w:val="top"/>
            <w:tcMar>
              <w:top w:w="80" w:type="dxa"/>
              <w:start w:w="120" w:type="dxa"/>
              <w:bottom w:w="80" w:type="dxa"/>
              <w:end w:w="120" w:type="dxa"/>
            </w:tcMar>
          </w:tcPr>
          <w:p>
            <w:pPr>
              <w:spacing w:after="0"/>
            </w:pPr>
            <w:r>
              <w:rPr>
                <w:sz w:val="18"/>
              </w:rPr>
              <w:t>Accounting residual under the report structure</w:t>
            </w:r>
          </w:p>
        </w:tc>
      </w:tr>
    </w:tbl>
    <w:p>
      <w:pPr>
        <w:spacing w:after="0"/>
      </w:pPr>
    </w:p>
    <w:p>
      <w:r>
        <w:t>Scale checks show Citadel’s 954,232,368 executed-at-Citadel shares equal 33.038% of FINRA’s 2,888,264,793 June public-dissemination TRF/ADF AMC shares. This is not market share: the populations differ and can overlap. It is a magnitude check showing why Citadel is a priority target for the order-level join.</w:t>
      </w:r>
    </w:p>
    <w:p>
      <w:pPr>
        <w:pStyle w:val="Heading1"/>
      </w:pPr>
      <w:r>
        <w:t>6. BNY Mellon: the concrete June test</w:t>
      </w:r>
    </w:p>
    <w:p>
      <w:r>
        <w:t>BNY Mellon is not identified in the market-by-order files. Its relevance comes from a separate transaction-and-lending chain: ACERS’s court-filed AMC history shows sales on May 27 and June 2 in a CIM-managed account; BNY records were used to document ACERS’s position; ACERS maintained a BNY securities-lending relationship; and BNY lending schedules from 2010 and July 2022 list Citadel Securities, and in 2022 also Citadel Clearing, among approved borrowers. Those non-ACERS schedules bracket the period but do not prove the exact ACERS borrower list in 2021.</w:t>
      </w:r>
    </w:p>
    <w:tbl>
      <w:tblPr>
        <w:tblStyle w:val="TableGrid"/>
        <w:tblW w:type="dxa" w:w="9360"/>
        <w:jc w:val="center"/>
        <w:tblLayout w:type="fixed"/>
        <w:tblLook w:firstColumn="1" w:firstRow="1" w:lastColumn="0" w:lastRow="0" w:noHBand="0" w:noVBand="1" w:val="04A0"/>
      </w:tblPr>
      <w:tblGrid>
        <w:gridCol w:w="3000"/>
        <w:gridCol w:w="4100"/>
        <w:gridCol w:w="2260"/>
      </w:tblGrid>
      <w:tr>
        <w:trPr>
          <w:trHeight w:hRule="atLeast"/>
          <w:tblHeader w:val="true"/>
        </w:trPr>
        <w:tc>
          <w:tcPr>
            <w:tcW w:type="dxa" w:w="3000"/>
            <w:shd w:fill="F2F4F7"/>
            <w:vAlign w:val="center"/>
            <w:tcMar>
              <w:top w:w="80" w:type="dxa"/>
              <w:start w:w="120" w:type="dxa"/>
              <w:bottom w:w="80" w:type="dxa"/>
              <w:end w:w="120" w:type="dxa"/>
            </w:tcMar>
          </w:tcPr>
          <w:p>
            <w:pPr>
              <w:spacing w:after="0"/>
            </w:pPr>
            <w:r>
              <w:rPr>
                <w:b/>
                <w:color w:val="17365D"/>
                <w:sz w:val="18"/>
              </w:rPr>
              <w:t>Record</w:t>
            </w:r>
          </w:p>
        </w:tc>
        <w:tc>
          <w:tcPr>
            <w:tcW w:type="dxa" w:w="4100"/>
            <w:shd w:fill="F2F4F7"/>
            <w:vAlign w:val="center"/>
            <w:tcMar>
              <w:top w:w="80" w:type="dxa"/>
              <w:start w:w="120" w:type="dxa"/>
              <w:bottom w:w="80" w:type="dxa"/>
              <w:end w:w="120" w:type="dxa"/>
            </w:tcMar>
          </w:tcPr>
          <w:p>
            <w:pPr>
              <w:spacing w:after="0"/>
            </w:pPr>
            <w:r>
              <w:rPr>
                <w:b/>
                <w:color w:val="17365D"/>
                <w:sz w:val="18"/>
              </w:rPr>
              <w:t>What it could establish</w:t>
            </w:r>
          </w:p>
        </w:tc>
        <w:tc>
          <w:tcPr>
            <w:tcW w:type="dxa" w:w="2260"/>
            <w:shd w:fill="F2F4F7"/>
            <w:vAlign w:val="center"/>
            <w:tcMar>
              <w:top w:w="80" w:type="dxa"/>
              <w:start w:w="120" w:type="dxa"/>
              <w:bottom w:w="80" w:type="dxa"/>
              <w:end w:w="120" w:type="dxa"/>
            </w:tcMar>
          </w:tcPr>
          <w:p>
            <w:pPr>
              <w:spacing w:after="0"/>
            </w:pPr>
            <w:r>
              <w:rPr>
                <w:b/>
                <w:color w:val="17365D"/>
                <w:sz w:val="18"/>
              </w:rPr>
              <w:t>Current status</w:t>
            </w:r>
          </w:p>
        </w:tc>
      </w:tr>
      <w:tr>
        <w:trPr>
          <w:cantSplit/>
        </w:trPr>
        <w:tc>
          <w:tcPr>
            <w:tcW w:type="dxa" w:w="3000"/>
            <w:vAlign w:val="top"/>
            <w:tcMar>
              <w:top w:w="80" w:type="dxa"/>
              <w:start w:w="120" w:type="dxa"/>
              <w:bottom w:w="80" w:type="dxa"/>
              <w:end w:w="120" w:type="dxa"/>
            </w:tcMar>
          </w:tcPr>
          <w:p>
            <w:pPr>
              <w:spacing w:after="0"/>
            </w:pPr>
            <w:r>
              <w:rPr>
                <w:sz w:val="18"/>
              </w:rPr>
              <w:t>BNY AMC position/transaction detail for ACERS</w:t>
            </w:r>
          </w:p>
        </w:tc>
        <w:tc>
          <w:tcPr>
            <w:tcW w:type="dxa" w:w="4100"/>
            <w:vAlign w:val="top"/>
            <w:tcMar>
              <w:top w:w="80" w:type="dxa"/>
              <w:start w:w="120" w:type="dxa"/>
              <w:bottom w:w="80" w:type="dxa"/>
              <w:end w:w="120" w:type="dxa"/>
            </w:tcMar>
          </w:tcPr>
          <w:p>
            <w:pPr>
              <w:spacing w:after="0"/>
            </w:pPr>
            <w:r>
              <w:rPr>
                <w:sz w:val="18"/>
              </w:rPr>
              <w:t>Executing broker, account, timing, quantity, commission, settlement path</w:t>
            </w:r>
          </w:p>
        </w:tc>
        <w:tc>
          <w:tcPr>
            <w:tcW w:type="dxa" w:w="2260"/>
            <w:vAlign w:val="top"/>
            <w:tcMar>
              <w:top w:w="80" w:type="dxa"/>
              <w:start w:w="120" w:type="dxa"/>
              <w:bottom w:w="80" w:type="dxa"/>
              <w:end w:w="120" w:type="dxa"/>
            </w:tcMar>
          </w:tcPr>
          <w:p>
            <w:pPr>
              <w:spacing w:after="0"/>
            </w:pPr>
            <w:r>
              <w:rPr>
                <w:sz w:val="18"/>
              </w:rPr>
              <w:t>Field exists in comparable BNY court exhibit; AMC version not public</w:t>
            </w:r>
          </w:p>
        </w:tc>
      </w:tr>
      <w:tr>
        <w:trPr>
          <w:cantSplit/>
        </w:trPr>
        <w:tc>
          <w:tcPr>
            <w:tcW w:type="dxa" w:w="3000"/>
            <w:vAlign w:val="top"/>
            <w:tcMar>
              <w:top w:w="80" w:type="dxa"/>
              <w:start w:w="120" w:type="dxa"/>
              <w:bottom w:w="80" w:type="dxa"/>
              <w:end w:w="120" w:type="dxa"/>
            </w:tcMar>
          </w:tcPr>
          <w:p>
            <w:pPr>
              <w:spacing w:after="0"/>
            </w:pPr>
            <w:r>
              <w:rPr>
                <w:sz w:val="18"/>
              </w:rPr>
              <w:t>BNY AMC loan ledger</w:t>
            </w:r>
          </w:p>
        </w:tc>
        <w:tc>
          <w:tcPr>
            <w:tcW w:type="dxa" w:w="4100"/>
            <w:vAlign w:val="top"/>
            <w:tcMar>
              <w:top w:w="80" w:type="dxa"/>
              <w:start w:w="120" w:type="dxa"/>
              <w:bottom w:w="80" w:type="dxa"/>
              <w:end w:w="120" w:type="dxa"/>
            </w:tcMar>
          </w:tcPr>
          <w:p>
            <w:pPr>
              <w:spacing w:after="0"/>
            </w:pPr>
            <w:r>
              <w:rPr>
                <w:sz w:val="18"/>
              </w:rPr>
              <w:t>Whether ACERS AMC shares were on loan; borrower; recall/return; collateral; fee</w:t>
            </w:r>
          </w:p>
        </w:tc>
        <w:tc>
          <w:tcPr>
            <w:tcW w:type="dxa" w:w="2260"/>
            <w:vAlign w:val="top"/>
            <w:tcMar>
              <w:top w:w="80" w:type="dxa"/>
              <w:start w:w="120" w:type="dxa"/>
              <w:bottom w:w="80" w:type="dxa"/>
              <w:end w:w="120" w:type="dxa"/>
            </w:tcMar>
          </w:tcPr>
          <w:p>
            <w:pPr>
              <w:spacing w:after="0"/>
            </w:pPr>
            <w:r>
              <w:rPr>
                <w:sz w:val="18"/>
              </w:rPr>
              <w:t>Not public</w:t>
            </w:r>
          </w:p>
        </w:tc>
      </w:tr>
      <w:tr>
        <w:trPr>
          <w:cantSplit/>
        </w:trPr>
        <w:tc>
          <w:tcPr>
            <w:tcW w:type="dxa" w:w="3000"/>
            <w:vAlign w:val="top"/>
            <w:tcMar>
              <w:top w:w="80" w:type="dxa"/>
              <w:start w:w="120" w:type="dxa"/>
              <w:bottom w:w="80" w:type="dxa"/>
              <w:end w:w="120" w:type="dxa"/>
            </w:tcMar>
          </w:tcPr>
          <w:p>
            <w:pPr>
              <w:spacing w:after="0"/>
            </w:pPr>
            <w:r>
              <w:rPr>
                <w:sz w:val="18"/>
              </w:rPr>
              <w:t>ACERS Schedule II in force May–June 2021</w:t>
            </w:r>
          </w:p>
        </w:tc>
        <w:tc>
          <w:tcPr>
            <w:tcW w:type="dxa" w:w="4100"/>
            <w:vAlign w:val="top"/>
            <w:tcMar>
              <w:top w:w="80" w:type="dxa"/>
              <w:start w:w="120" w:type="dxa"/>
              <w:bottom w:w="80" w:type="dxa"/>
              <w:end w:w="120" w:type="dxa"/>
            </w:tcMar>
          </w:tcPr>
          <w:p>
            <w:pPr>
              <w:spacing w:after="0"/>
            </w:pPr>
            <w:r>
              <w:rPr>
                <w:sz w:val="18"/>
              </w:rPr>
              <w:t>Whether Citadel entities were eligible borrowers for this specific lender</w:t>
            </w:r>
          </w:p>
        </w:tc>
        <w:tc>
          <w:tcPr>
            <w:tcW w:type="dxa" w:w="2260"/>
            <w:vAlign w:val="top"/>
            <w:tcMar>
              <w:top w:w="80" w:type="dxa"/>
              <w:start w:w="120" w:type="dxa"/>
              <w:bottom w:w="80" w:type="dxa"/>
              <w:end w:w="120" w:type="dxa"/>
            </w:tcMar>
          </w:tcPr>
          <w:p>
            <w:pPr>
              <w:spacing w:after="0"/>
            </w:pPr>
            <w:r>
              <w:rPr>
                <w:sz w:val="18"/>
              </w:rPr>
              <w:t>Not located</w:t>
            </w:r>
          </w:p>
        </w:tc>
      </w:tr>
      <w:tr>
        <w:trPr>
          <w:cantSplit/>
        </w:trPr>
        <w:tc>
          <w:tcPr>
            <w:tcW w:type="dxa" w:w="3000"/>
            <w:vAlign w:val="top"/>
            <w:tcMar>
              <w:top w:w="80" w:type="dxa"/>
              <w:start w:w="120" w:type="dxa"/>
              <w:bottom w:w="80" w:type="dxa"/>
              <w:end w:w="120" w:type="dxa"/>
            </w:tcMar>
          </w:tcPr>
          <w:p>
            <w:pPr>
              <w:spacing w:after="0"/>
            </w:pPr>
            <w:r>
              <w:rPr>
                <w:sz w:val="18"/>
              </w:rPr>
              <w:t>CNS/DTC participant settlement records</w:t>
            </w:r>
          </w:p>
        </w:tc>
        <w:tc>
          <w:tcPr>
            <w:tcW w:type="dxa" w:w="4100"/>
            <w:vAlign w:val="top"/>
            <w:tcMar>
              <w:top w:w="80" w:type="dxa"/>
              <w:start w:w="120" w:type="dxa"/>
              <w:bottom w:w="80" w:type="dxa"/>
              <w:end w:w="120" w:type="dxa"/>
            </w:tcMar>
          </w:tcPr>
          <w:p>
            <w:pPr>
              <w:spacing w:after="0"/>
            </w:pPr>
            <w:r>
              <w:rPr>
                <w:sz w:val="18"/>
              </w:rPr>
              <w:t>Whether a BNY participant account delivered, borrowed, netted, or failed AMC</w:t>
            </w:r>
          </w:p>
        </w:tc>
        <w:tc>
          <w:tcPr>
            <w:tcW w:type="dxa" w:w="2260"/>
            <w:vAlign w:val="top"/>
            <w:tcMar>
              <w:top w:w="80" w:type="dxa"/>
              <w:start w:w="120" w:type="dxa"/>
              <w:bottom w:w="80" w:type="dxa"/>
              <w:end w:w="120" w:type="dxa"/>
            </w:tcMar>
          </w:tcPr>
          <w:p>
            <w:pPr>
              <w:spacing w:after="0"/>
            </w:pPr>
            <w:r>
              <w:rPr>
                <w:sz w:val="18"/>
              </w:rPr>
              <w:t>Nonpublic / controlled</w:t>
            </w:r>
          </w:p>
        </w:tc>
      </w:tr>
    </w:tbl>
    <w:p>
      <w:pPr>
        <w:spacing w:after="0"/>
      </w:pP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EDF3F8"/>
            <w:tcBorders>
              <w:left w:val="single" w:sz="24" w:color="2E74B5"/>
            </w:tcBorders>
          </w:tcPr>
          <w:p>
            <w:pPr>
              <w:spacing w:after="80"/>
            </w:pPr>
            <w:r>
              <w:rPr>
                <w:b/>
                <w:color w:val="2E74B5"/>
                <w:sz w:val="20"/>
              </w:rPr>
              <w:t>BNY EVIDENCE GRADE</w:t>
            </w:r>
          </w:p>
          <w:p>
            <w:pPr>
              <w:spacing w:after="0"/>
            </w:pPr>
            <w:r>
              <w:t>BNY Mellon is a material records custodian and a plausible securities-lending/settlement intermediary. The present public evidence does not attribute the June 2 market event to BNY Mellon. Any public accusation should say that BNY’s AMC-specific ledger is the test—not that a Citadel loan has already been proved.</w:t>
            </w:r>
          </w:p>
        </w:tc>
      </w:tr>
    </w:tbl>
    <w:p>
      <w:pPr>
        <w:spacing w:after="0"/>
      </w:pPr>
    </w:p>
    <w:p>
      <w:pPr>
        <w:pStyle w:val="Heading1"/>
      </w:pPr>
      <w:r>
        <w:t>7. Settlement stress and off-exchange flow</w:t>
      </w:r>
    </w:p>
    <w:tbl>
      <w:tblPr>
        <w:tblStyle w:val="TableGrid"/>
        <w:tblW w:type="dxa" w:w="9360"/>
        <w:jc w:val="center"/>
        <w:tblLayout w:type="fixed"/>
        <w:tblLook w:firstColumn="1" w:firstRow="1" w:lastColumn="0" w:lastRow="0" w:noHBand="0" w:noVBand="1" w:val="04A0"/>
      </w:tblPr>
      <w:tblGrid>
        <w:gridCol w:w="4680"/>
        <w:gridCol w:w="4680"/>
      </w:tblGrid>
      <w:tr>
        <w:trPr>
          <w:trHeight w:hRule="atLeast"/>
          <w:tblHeader w:val="true"/>
        </w:trPr>
        <w:tc>
          <w:tcPr>
            <w:tcW w:type="dxa" w:w="4680"/>
            <w:shd w:fill="F2F4F7"/>
            <w:vAlign w:val="center"/>
            <w:tcMar>
              <w:top w:w="80" w:type="dxa"/>
              <w:start w:w="120" w:type="dxa"/>
              <w:bottom w:w="80" w:type="dxa"/>
              <w:end w:w="120" w:type="dxa"/>
            </w:tcMar>
          </w:tcPr>
          <w:p>
            <w:pPr>
              <w:spacing w:after="0"/>
            </w:pPr>
            <w:r>
              <w:rPr>
                <w:b/>
                <w:color w:val="17365D"/>
                <w:sz w:val="18"/>
              </w:rPr>
              <w:t>Settlement date</w:t>
            </w:r>
          </w:p>
        </w:tc>
        <w:tc>
          <w:tcPr>
            <w:tcW w:type="dxa" w:w="4680"/>
            <w:shd w:fill="F2F4F7"/>
            <w:vAlign w:val="center"/>
            <w:tcMar>
              <w:top w:w="80" w:type="dxa"/>
              <w:start w:w="120" w:type="dxa"/>
              <w:bottom w:w="80" w:type="dxa"/>
              <w:end w:w="120" w:type="dxa"/>
            </w:tcMar>
          </w:tcPr>
          <w:p>
            <w:pPr>
              <w:spacing w:after="0"/>
            </w:pPr>
            <w:r>
              <w:rPr>
                <w:b/>
                <w:color w:val="17365D"/>
                <w:sz w:val="18"/>
              </w:rPr>
              <w:t>Aggregate AMC FTD balance</w:t>
            </w:r>
          </w:p>
        </w:tc>
      </w:tr>
      <w:tr>
        <w:trPr>
          <w:cantSplit/>
        </w:trPr>
        <w:tc>
          <w:tcPr>
            <w:tcW w:type="dxa" w:w="4680"/>
            <w:vAlign w:val="top"/>
            <w:tcMar>
              <w:top w:w="80" w:type="dxa"/>
              <w:start w:w="120" w:type="dxa"/>
              <w:bottom w:w="80" w:type="dxa"/>
              <w:end w:w="120" w:type="dxa"/>
            </w:tcMar>
          </w:tcPr>
          <w:p>
            <w:pPr>
              <w:spacing w:after="0"/>
            </w:pPr>
            <w:r>
              <w:rPr>
                <w:sz w:val="18"/>
              </w:rPr>
              <w:t>June 3</w:t>
            </w:r>
          </w:p>
        </w:tc>
        <w:tc>
          <w:tcPr>
            <w:tcW w:type="dxa" w:w="4680"/>
            <w:vAlign w:val="top"/>
            <w:tcMar>
              <w:top w:w="80" w:type="dxa"/>
              <w:start w:w="120" w:type="dxa"/>
              <w:bottom w:w="80" w:type="dxa"/>
              <w:end w:w="120" w:type="dxa"/>
            </w:tcMar>
          </w:tcPr>
          <w:p>
            <w:pPr>
              <w:spacing w:after="0"/>
            </w:pPr>
            <w:r>
              <w:rPr>
                <w:sz w:val="18"/>
              </w:rPr>
              <w:t>5,448,460</w:t>
            </w:r>
          </w:p>
        </w:tc>
      </w:tr>
      <w:tr>
        <w:trPr>
          <w:cantSplit/>
        </w:trPr>
        <w:tc>
          <w:tcPr>
            <w:tcW w:type="dxa" w:w="4680"/>
            <w:vAlign w:val="top"/>
            <w:tcMar>
              <w:top w:w="80" w:type="dxa"/>
              <w:start w:w="120" w:type="dxa"/>
              <w:bottom w:w="80" w:type="dxa"/>
              <w:end w:w="120" w:type="dxa"/>
            </w:tcMar>
          </w:tcPr>
          <w:p>
            <w:pPr>
              <w:spacing w:after="0"/>
            </w:pPr>
            <w:r>
              <w:rPr>
                <w:sz w:val="18"/>
              </w:rPr>
              <w:t>June 18</w:t>
            </w:r>
          </w:p>
        </w:tc>
        <w:tc>
          <w:tcPr>
            <w:tcW w:type="dxa" w:w="4680"/>
            <w:vAlign w:val="top"/>
            <w:tcMar>
              <w:top w:w="80" w:type="dxa"/>
              <w:start w:w="120" w:type="dxa"/>
              <w:bottom w:w="80" w:type="dxa"/>
              <w:end w:w="120" w:type="dxa"/>
            </w:tcMar>
          </w:tcPr>
          <w:p>
            <w:pPr>
              <w:spacing w:after="0"/>
            </w:pPr>
            <w:r>
              <w:rPr>
                <w:sz w:val="18"/>
              </w:rPr>
              <w:t>2,333,859</w:t>
            </w:r>
          </w:p>
        </w:tc>
      </w:tr>
      <w:tr>
        <w:trPr>
          <w:cantSplit/>
        </w:trPr>
        <w:tc>
          <w:tcPr>
            <w:tcW w:type="dxa" w:w="4680"/>
            <w:vAlign w:val="top"/>
            <w:tcMar>
              <w:top w:w="80" w:type="dxa"/>
              <w:start w:w="120" w:type="dxa"/>
              <w:bottom w:w="80" w:type="dxa"/>
              <w:end w:w="120" w:type="dxa"/>
            </w:tcMar>
          </w:tcPr>
          <w:p>
            <w:pPr>
              <w:spacing w:after="0"/>
            </w:pPr>
            <w:r>
              <w:rPr>
                <w:sz w:val="18"/>
              </w:rPr>
              <w:t>June 21</w:t>
            </w:r>
          </w:p>
        </w:tc>
        <w:tc>
          <w:tcPr>
            <w:tcW w:type="dxa" w:w="4680"/>
            <w:vAlign w:val="top"/>
            <w:tcMar>
              <w:top w:w="80" w:type="dxa"/>
              <w:start w:w="120" w:type="dxa"/>
              <w:bottom w:w="80" w:type="dxa"/>
              <w:end w:w="120" w:type="dxa"/>
            </w:tcMar>
          </w:tcPr>
          <w:p>
            <w:pPr>
              <w:spacing w:after="0"/>
            </w:pPr>
            <w:r>
              <w:rPr>
                <w:sz w:val="18"/>
              </w:rPr>
              <w:t>4,053,113</w:t>
            </w:r>
          </w:p>
        </w:tc>
      </w:tr>
      <w:tr>
        <w:trPr>
          <w:cantSplit/>
        </w:trPr>
        <w:tc>
          <w:tcPr>
            <w:tcW w:type="dxa" w:w="4680"/>
            <w:vAlign w:val="top"/>
            <w:tcMar>
              <w:top w:w="80" w:type="dxa"/>
              <w:start w:w="120" w:type="dxa"/>
              <w:bottom w:w="80" w:type="dxa"/>
              <w:end w:w="120" w:type="dxa"/>
            </w:tcMar>
          </w:tcPr>
          <w:p>
            <w:pPr>
              <w:spacing w:after="0"/>
            </w:pPr>
            <w:r>
              <w:rPr>
                <w:sz w:val="18"/>
              </w:rPr>
              <w:t>June 22</w:t>
            </w:r>
          </w:p>
        </w:tc>
        <w:tc>
          <w:tcPr>
            <w:tcW w:type="dxa" w:w="4680"/>
            <w:vAlign w:val="top"/>
            <w:tcMar>
              <w:top w:w="80" w:type="dxa"/>
              <w:start w:w="120" w:type="dxa"/>
              <w:bottom w:w="80" w:type="dxa"/>
              <w:end w:w="120" w:type="dxa"/>
            </w:tcMar>
          </w:tcPr>
          <w:p>
            <w:pPr>
              <w:spacing w:after="0"/>
            </w:pPr>
            <w:r>
              <w:rPr>
                <w:sz w:val="18"/>
              </w:rPr>
              <w:t>3,632,546</w:t>
            </w:r>
          </w:p>
        </w:tc>
      </w:tr>
      <w:tr>
        <w:trPr>
          <w:cantSplit/>
        </w:trPr>
        <w:tc>
          <w:tcPr>
            <w:tcW w:type="dxa" w:w="4680"/>
            <w:vAlign w:val="top"/>
            <w:tcMar>
              <w:top w:w="80" w:type="dxa"/>
              <w:start w:w="120" w:type="dxa"/>
              <w:bottom w:w="80" w:type="dxa"/>
              <w:end w:w="120" w:type="dxa"/>
            </w:tcMar>
          </w:tcPr>
          <w:p>
            <w:pPr>
              <w:spacing w:after="0"/>
            </w:pPr>
            <w:r>
              <w:rPr>
                <w:sz w:val="18"/>
              </w:rPr>
              <w:t>June 23</w:t>
            </w:r>
          </w:p>
        </w:tc>
        <w:tc>
          <w:tcPr>
            <w:tcW w:type="dxa" w:w="4680"/>
            <w:vAlign w:val="top"/>
            <w:tcMar>
              <w:top w:w="80" w:type="dxa"/>
              <w:start w:w="120" w:type="dxa"/>
              <w:bottom w:w="80" w:type="dxa"/>
              <w:end w:w="120" w:type="dxa"/>
            </w:tcMar>
          </w:tcPr>
          <w:p>
            <w:pPr>
              <w:spacing w:after="0"/>
            </w:pPr>
            <w:r>
              <w:rPr>
                <w:sz w:val="18"/>
              </w:rPr>
              <w:t>3,711,756</w:t>
            </w:r>
          </w:p>
        </w:tc>
      </w:tr>
      <w:tr>
        <w:trPr>
          <w:cantSplit/>
        </w:trPr>
        <w:tc>
          <w:tcPr>
            <w:tcW w:type="dxa" w:w="4680"/>
            <w:vAlign w:val="top"/>
            <w:tcMar>
              <w:top w:w="80" w:type="dxa"/>
              <w:start w:w="120" w:type="dxa"/>
              <w:bottom w:w="80" w:type="dxa"/>
              <w:end w:w="120" w:type="dxa"/>
            </w:tcMar>
          </w:tcPr>
          <w:p>
            <w:pPr>
              <w:spacing w:after="0"/>
            </w:pPr>
            <w:r>
              <w:rPr>
                <w:sz w:val="18"/>
              </w:rPr>
              <w:t>June 24</w:t>
            </w:r>
          </w:p>
        </w:tc>
        <w:tc>
          <w:tcPr>
            <w:tcW w:type="dxa" w:w="4680"/>
            <w:vAlign w:val="top"/>
            <w:tcMar>
              <w:top w:w="80" w:type="dxa"/>
              <w:start w:w="120" w:type="dxa"/>
              <w:bottom w:w="80" w:type="dxa"/>
              <w:end w:w="120" w:type="dxa"/>
            </w:tcMar>
          </w:tcPr>
          <w:p>
            <w:pPr>
              <w:spacing w:after="0"/>
            </w:pPr>
            <w:r>
              <w:rPr>
                <w:sz w:val="18"/>
              </w:rPr>
              <w:t>3,883,531</w:t>
            </w:r>
          </w:p>
        </w:tc>
      </w:tr>
      <w:tr>
        <w:trPr>
          <w:cantSplit/>
        </w:trPr>
        <w:tc>
          <w:tcPr>
            <w:tcW w:type="dxa" w:w="4680"/>
            <w:vAlign w:val="top"/>
            <w:tcMar>
              <w:top w:w="80" w:type="dxa"/>
              <w:start w:w="120" w:type="dxa"/>
              <w:bottom w:w="80" w:type="dxa"/>
              <w:end w:w="120" w:type="dxa"/>
            </w:tcMar>
          </w:tcPr>
          <w:p>
            <w:pPr>
              <w:spacing w:after="0"/>
            </w:pPr>
            <w:r>
              <w:rPr>
                <w:sz w:val="18"/>
              </w:rPr>
              <w:t>June 25</w:t>
            </w:r>
          </w:p>
        </w:tc>
        <w:tc>
          <w:tcPr>
            <w:tcW w:type="dxa" w:w="4680"/>
            <w:vAlign w:val="top"/>
            <w:tcMar>
              <w:top w:w="80" w:type="dxa"/>
              <w:start w:w="120" w:type="dxa"/>
              <w:bottom w:w="80" w:type="dxa"/>
              <w:end w:w="120" w:type="dxa"/>
            </w:tcMar>
          </w:tcPr>
          <w:p>
            <w:pPr>
              <w:spacing w:after="0"/>
            </w:pPr>
            <w:r>
              <w:rPr>
                <w:sz w:val="18"/>
              </w:rPr>
              <w:t>4,419,417</w:t>
            </w:r>
          </w:p>
        </w:tc>
      </w:tr>
      <w:tr>
        <w:trPr>
          <w:cantSplit/>
        </w:trPr>
        <w:tc>
          <w:tcPr>
            <w:tcW w:type="dxa" w:w="4680"/>
            <w:vAlign w:val="top"/>
            <w:tcMar>
              <w:top w:w="80" w:type="dxa"/>
              <w:start w:w="120" w:type="dxa"/>
              <w:bottom w:w="80" w:type="dxa"/>
              <w:end w:w="120" w:type="dxa"/>
            </w:tcMar>
          </w:tcPr>
          <w:p>
            <w:pPr>
              <w:spacing w:after="0"/>
            </w:pPr>
            <w:r>
              <w:rPr>
                <w:sz w:val="18"/>
              </w:rPr>
              <w:t>June 28</w:t>
            </w:r>
          </w:p>
        </w:tc>
        <w:tc>
          <w:tcPr>
            <w:tcW w:type="dxa" w:w="4680"/>
            <w:vAlign w:val="top"/>
            <w:tcMar>
              <w:top w:w="80" w:type="dxa"/>
              <w:start w:w="120" w:type="dxa"/>
              <w:bottom w:w="80" w:type="dxa"/>
              <w:end w:w="120" w:type="dxa"/>
            </w:tcMar>
          </w:tcPr>
          <w:p>
            <w:pPr>
              <w:spacing w:after="0"/>
            </w:pPr>
            <w:r>
              <w:rPr>
                <w:sz w:val="18"/>
              </w:rPr>
              <w:t>4,023,371</w:t>
            </w:r>
          </w:p>
        </w:tc>
      </w:tr>
      <w:tr>
        <w:trPr>
          <w:cantSplit/>
        </w:trPr>
        <w:tc>
          <w:tcPr>
            <w:tcW w:type="dxa" w:w="4680"/>
            <w:vAlign w:val="top"/>
            <w:tcMar>
              <w:top w:w="80" w:type="dxa"/>
              <w:start w:w="120" w:type="dxa"/>
              <w:bottom w:w="80" w:type="dxa"/>
              <w:end w:w="120" w:type="dxa"/>
            </w:tcMar>
          </w:tcPr>
          <w:p>
            <w:pPr>
              <w:spacing w:after="0"/>
            </w:pPr>
            <w:r>
              <w:rPr>
                <w:sz w:val="18"/>
              </w:rPr>
              <w:t>June 29</w:t>
            </w:r>
          </w:p>
        </w:tc>
        <w:tc>
          <w:tcPr>
            <w:tcW w:type="dxa" w:w="4680"/>
            <w:vAlign w:val="top"/>
            <w:tcMar>
              <w:top w:w="80" w:type="dxa"/>
              <w:start w:w="120" w:type="dxa"/>
              <w:bottom w:w="80" w:type="dxa"/>
              <w:end w:w="120" w:type="dxa"/>
            </w:tcMar>
          </w:tcPr>
          <w:p>
            <w:pPr>
              <w:spacing w:after="0"/>
            </w:pPr>
            <w:r>
              <w:rPr>
                <w:sz w:val="18"/>
              </w:rPr>
              <w:t>3,561,263</w:t>
            </w:r>
          </w:p>
        </w:tc>
      </w:tr>
      <w:tr>
        <w:trPr>
          <w:cantSplit/>
        </w:trPr>
        <w:tc>
          <w:tcPr>
            <w:tcW w:type="dxa" w:w="4680"/>
            <w:vAlign w:val="top"/>
            <w:tcMar>
              <w:top w:w="80" w:type="dxa"/>
              <w:start w:w="120" w:type="dxa"/>
              <w:bottom w:w="80" w:type="dxa"/>
              <w:end w:w="120" w:type="dxa"/>
            </w:tcMar>
          </w:tcPr>
          <w:p>
            <w:pPr>
              <w:spacing w:after="0"/>
            </w:pPr>
            <w:r>
              <w:rPr>
                <w:sz w:val="18"/>
              </w:rPr>
              <w:t>June 30</w:t>
            </w:r>
          </w:p>
        </w:tc>
        <w:tc>
          <w:tcPr>
            <w:tcW w:type="dxa" w:w="4680"/>
            <w:vAlign w:val="top"/>
            <w:tcMar>
              <w:top w:w="80" w:type="dxa"/>
              <w:start w:w="120" w:type="dxa"/>
              <w:bottom w:w="80" w:type="dxa"/>
              <w:end w:w="120" w:type="dxa"/>
            </w:tcMar>
          </w:tcPr>
          <w:p>
            <w:pPr>
              <w:spacing w:after="0"/>
            </w:pPr>
            <w:r>
              <w:rPr>
                <w:sz w:val="18"/>
              </w:rPr>
              <w:t>4,207,210</w:t>
            </w:r>
          </w:p>
        </w:tc>
      </w:tr>
      <w:tr>
        <w:trPr>
          <w:cantSplit/>
        </w:trPr>
        <w:tc>
          <w:tcPr>
            <w:tcW w:type="dxa" w:w="4680"/>
            <w:vAlign w:val="top"/>
            <w:tcMar>
              <w:top w:w="80" w:type="dxa"/>
              <w:start w:w="120" w:type="dxa"/>
              <w:bottom w:w="80" w:type="dxa"/>
              <w:end w:w="120" w:type="dxa"/>
            </w:tcMar>
          </w:tcPr>
          <w:p>
            <w:pPr>
              <w:spacing w:after="0"/>
            </w:pPr>
            <w:r>
              <w:rPr>
                <w:sz w:val="18"/>
              </w:rPr>
              <w:t>July 1</w:t>
            </w:r>
          </w:p>
        </w:tc>
        <w:tc>
          <w:tcPr>
            <w:tcW w:type="dxa" w:w="4680"/>
            <w:vAlign w:val="top"/>
            <w:tcMar>
              <w:top w:w="80" w:type="dxa"/>
              <w:start w:w="120" w:type="dxa"/>
              <w:bottom w:w="80" w:type="dxa"/>
              <w:end w:w="120" w:type="dxa"/>
            </w:tcMar>
          </w:tcPr>
          <w:p>
            <w:pPr>
              <w:spacing w:after="0"/>
            </w:pPr>
            <w:r>
              <w:rPr>
                <w:sz w:val="18"/>
              </w:rPr>
              <w:t>3,519,354</w:t>
            </w:r>
          </w:p>
        </w:tc>
      </w:tr>
      <w:tr>
        <w:trPr>
          <w:cantSplit/>
        </w:trPr>
        <w:tc>
          <w:tcPr>
            <w:tcW w:type="dxa" w:w="4680"/>
            <w:vAlign w:val="top"/>
            <w:tcMar>
              <w:top w:w="80" w:type="dxa"/>
              <w:start w:w="120" w:type="dxa"/>
              <w:bottom w:w="80" w:type="dxa"/>
              <w:end w:w="120" w:type="dxa"/>
            </w:tcMar>
          </w:tcPr>
          <w:p>
            <w:pPr>
              <w:spacing w:after="0"/>
            </w:pPr>
            <w:r>
              <w:rPr>
                <w:sz w:val="18"/>
              </w:rPr>
              <w:t>July 2</w:t>
            </w:r>
          </w:p>
        </w:tc>
        <w:tc>
          <w:tcPr>
            <w:tcW w:type="dxa" w:w="4680"/>
            <w:vAlign w:val="top"/>
            <w:tcMar>
              <w:top w:w="80" w:type="dxa"/>
              <w:start w:w="120" w:type="dxa"/>
              <w:bottom w:w="80" w:type="dxa"/>
              <w:end w:w="120" w:type="dxa"/>
            </w:tcMar>
          </w:tcPr>
          <w:p>
            <w:pPr>
              <w:spacing w:after="0"/>
            </w:pPr>
            <w:r>
              <w:rPr>
                <w:sz w:val="18"/>
              </w:rPr>
              <w:t>2,248,513</w:t>
            </w:r>
          </w:p>
        </w:tc>
      </w:tr>
      <w:tr>
        <w:trPr>
          <w:cantSplit/>
        </w:trPr>
        <w:tc>
          <w:tcPr>
            <w:tcW w:type="dxa" w:w="4680"/>
            <w:vAlign w:val="top"/>
            <w:tcMar>
              <w:top w:w="80" w:type="dxa"/>
              <w:start w:w="120" w:type="dxa"/>
              <w:bottom w:w="80" w:type="dxa"/>
              <w:end w:w="120" w:type="dxa"/>
            </w:tcMar>
          </w:tcPr>
          <w:p>
            <w:pPr>
              <w:spacing w:after="0"/>
            </w:pPr>
            <w:r>
              <w:rPr>
                <w:sz w:val="18"/>
              </w:rPr>
              <w:t>July 6</w:t>
            </w:r>
          </w:p>
        </w:tc>
        <w:tc>
          <w:tcPr>
            <w:tcW w:type="dxa" w:w="4680"/>
            <w:vAlign w:val="top"/>
            <w:tcMar>
              <w:top w:w="80" w:type="dxa"/>
              <w:start w:w="120" w:type="dxa"/>
              <w:bottom w:w="80" w:type="dxa"/>
              <w:end w:w="120" w:type="dxa"/>
            </w:tcMar>
          </w:tcPr>
          <w:p>
            <w:pPr>
              <w:spacing w:after="0"/>
            </w:pPr>
            <w:r>
              <w:rPr>
                <w:sz w:val="18"/>
              </w:rPr>
              <w:t>41,296</w:t>
            </w:r>
          </w:p>
        </w:tc>
      </w:tr>
    </w:tbl>
    <w:p>
      <w:pPr>
        <w:spacing w:after="0"/>
      </w:pPr>
    </w:p>
    <w:p>
      <w:r>
        <w:t>The June 21–25 sequence exceeded the inferred post-ATM 0.5% quantity threshold and preceded the June 25 threshold-list appearance. The July 6 collapse in aggregate FTD balance records a large net settlement change. It does not reveal whether the resolution came from delivery, borrowing, purchase, buy-in, netting, or a change in participant obligations.</w:t>
      </w:r>
    </w:p>
    <w:p>
      <w:r>
        <w:t>FINRA’s June daily files show 1,169,819,420 short or short-exempt shares out of 2,888,264,793 public-dissemination off-exchange shares, or 40.50%. On June 2 alone, 162,922,476 of 371,220,618 such shares were short or short-exempt, or 43.89%. These are gross trade flows, not open short interest and not firm attribution.</w:t>
      </w:r>
    </w:p>
    <w:p>
      <w:pPr>
        <w:pStyle w:val="Heading1"/>
      </w:pPr>
      <w:r>
        <w:t>8. The Citadel–BNY Mellon accusation: strongest form the evidence can bear</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BE9E7"/>
            <w:tcBorders>
              <w:left w:val="single" w:sz="24" w:color="A61B1B"/>
            </w:tcBorders>
          </w:tcPr>
          <w:p>
            <w:pPr>
              <w:spacing w:after="80"/>
            </w:pPr>
            <w:r>
              <w:rPr>
                <w:b/>
                <w:color w:val="A61B1B"/>
                <w:sz w:val="20"/>
              </w:rPr>
              <w:t>PUBLICATION FORMULATION</w:t>
            </w:r>
          </w:p>
          <w:p>
            <w:pPr>
              <w:spacing w:after="0"/>
            </w:pPr>
            <w:r>
              <w:t>The June 2 evidence establishes a real, synchronized, zero-execution withdrawal of displayed AMC bid support and a separate multi-week settlement anomaly. Citadel Securities had documented AMC market-making assignments and an exceptionally large AMC-specific June execution footprint. BNY Mellon sat in a concrete AMC custody, transaction, and securities-lending chain that can identify a broker and borrower. We therefore accuse Citadel and BNY Mellon of conduct warranting an actor-specific investigation into whether Citadel-originated or Citadel-benefiting orders, financed or settled through BNY Mellon’s lending/custody infrastructure, contributed to the event. The public record does not yet prove that transaction chain or intent.</w:t>
            </w:r>
          </w:p>
        </w:tc>
      </w:tr>
    </w:tbl>
    <w:p>
      <w:pPr>
        <w:spacing w:after="0"/>
      </w:pPr>
    </w:p>
    <w:p>
      <w:r>
        <w:t>This is stronger than saying ‘something looked shady’ because it identifies the act, the dates, the role-bearing entities, the current proof, and the exact missing join. It is narrower than saying ‘Citadel and BNY manipulated AMC,’ because the present record does not contain participant IDs, beneficial owners, locate status, inventory, or communications.</w:t>
      </w:r>
    </w:p>
    <w:p>
      <w:pPr>
        <w:pStyle w:val="Heading1"/>
      </w:pPr>
      <w:r>
        <w:t>9. Competing hypotheses and falsifiers</w:t>
      </w:r>
    </w:p>
    <w:tbl>
      <w:tblPr>
        <w:tblStyle w:val="TableGrid"/>
        <w:tblW w:type="dxa" w:w="9360"/>
        <w:jc w:val="center"/>
        <w:tblLayout w:type="fixed"/>
        <w:tblLook w:firstColumn="1" w:firstRow="1" w:lastColumn="0" w:lastRow="0" w:noHBand="0" w:noVBand="1" w:val="04A0"/>
      </w:tblPr>
      <w:tblGrid>
        <w:gridCol w:w="2600"/>
        <w:gridCol w:w="3300"/>
        <w:gridCol w:w="3460"/>
      </w:tblGrid>
      <w:tr>
        <w:trPr>
          <w:trHeight w:hRule="atLeast"/>
          <w:tblHeader w:val="true"/>
        </w:trPr>
        <w:tc>
          <w:tcPr>
            <w:tcW w:type="dxa" w:w="2600"/>
            <w:shd w:fill="F2F4F7"/>
            <w:vAlign w:val="center"/>
            <w:tcMar>
              <w:top w:w="80" w:type="dxa"/>
              <w:start w:w="120" w:type="dxa"/>
              <w:bottom w:w="80" w:type="dxa"/>
              <w:end w:w="120" w:type="dxa"/>
            </w:tcMar>
          </w:tcPr>
          <w:p>
            <w:pPr>
              <w:spacing w:after="0"/>
            </w:pPr>
            <w:r>
              <w:rPr>
                <w:b/>
                <w:color w:val="17365D"/>
                <w:sz w:val="18"/>
              </w:rPr>
              <w:t>Hypothesis</w:t>
            </w:r>
          </w:p>
        </w:tc>
        <w:tc>
          <w:tcPr>
            <w:tcW w:type="dxa" w:w="3300"/>
            <w:shd w:fill="F2F4F7"/>
            <w:vAlign w:val="center"/>
            <w:tcMar>
              <w:top w:w="80" w:type="dxa"/>
              <w:start w:w="120" w:type="dxa"/>
              <w:bottom w:w="80" w:type="dxa"/>
              <w:end w:w="120" w:type="dxa"/>
            </w:tcMar>
          </w:tcPr>
          <w:p>
            <w:pPr>
              <w:spacing w:after="0"/>
            </w:pPr>
            <w:r>
              <w:rPr>
                <w:b/>
                <w:color w:val="17365D"/>
                <w:sz w:val="18"/>
              </w:rPr>
              <w:t>Current support</w:t>
            </w:r>
          </w:p>
        </w:tc>
        <w:tc>
          <w:tcPr>
            <w:tcW w:type="dxa" w:w="3460"/>
            <w:shd w:fill="F2F4F7"/>
            <w:vAlign w:val="center"/>
            <w:tcMar>
              <w:top w:w="80" w:type="dxa"/>
              <w:start w:w="120" w:type="dxa"/>
              <w:bottom w:w="80" w:type="dxa"/>
              <w:end w:w="120" w:type="dxa"/>
            </w:tcMar>
          </w:tcPr>
          <w:p>
            <w:pPr>
              <w:spacing w:after="0"/>
            </w:pPr>
            <w:r>
              <w:rPr>
                <w:b/>
                <w:color w:val="17365D"/>
                <w:sz w:val="18"/>
              </w:rPr>
              <w:t>Decisive test / falsifier</w:t>
            </w:r>
          </w:p>
        </w:tc>
      </w:tr>
      <w:tr>
        <w:trPr>
          <w:cantSplit/>
        </w:trPr>
        <w:tc>
          <w:tcPr>
            <w:tcW w:type="dxa" w:w="2600"/>
            <w:vAlign w:val="top"/>
            <w:tcMar>
              <w:top w:w="80" w:type="dxa"/>
              <w:start w:w="120" w:type="dxa"/>
              <w:bottom w:w="80" w:type="dxa"/>
              <w:end w:w="120" w:type="dxa"/>
            </w:tcMar>
          </w:tcPr>
          <w:p>
            <w:pPr>
              <w:spacing w:after="0"/>
            </w:pPr>
            <w:r>
              <w:rPr>
                <w:sz w:val="18"/>
              </w:rPr>
              <w:t>Independent market-maker risk repricing</w:t>
            </w:r>
          </w:p>
        </w:tc>
        <w:tc>
          <w:tcPr>
            <w:tcW w:type="dxa" w:w="3300"/>
            <w:vAlign w:val="top"/>
            <w:tcMar>
              <w:top w:w="80" w:type="dxa"/>
              <w:start w:w="120" w:type="dxa"/>
              <w:bottom w:w="80" w:type="dxa"/>
              <w:end w:w="120" w:type="dxa"/>
            </w:tcMar>
          </w:tcPr>
          <w:p>
            <w:pPr>
              <w:spacing w:after="0"/>
            </w:pPr>
            <w:r>
              <w:rPr>
                <w:sz w:val="18"/>
              </w:rPr>
              <w:t>Compressed, automated cancellation timing is consistent with a shared volatility signal.</w:t>
            </w:r>
          </w:p>
        </w:tc>
        <w:tc>
          <w:tcPr>
            <w:tcW w:type="dxa" w:w="3460"/>
            <w:vAlign w:val="top"/>
            <w:tcMar>
              <w:top w:w="80" w:type="dxa"/>
              <w:start w:w="120" w:type="dxa"/>
              <w:bottom w:w="80" w:type="dxa"/>
              <w:end w:w="120" w:type="dxa"/>
            </w:tcMar>
          </w:tcPr>
          <w:p>
            <w:pPr>
              <w:spacing w:after="0"/>
            </w:pPr>
            <w:r>
              <w:rPr>
                <w:sz w:val="18"/>
              </w:rPr>
              <w:t>CAT shows unrelated participants responding to the same feed, no related trade/benefit, and normal control-stock frequency.</w:t>
            </w:r>
          </w:p>
        </w:tc>
      </w:tr>
      <w:tr>
        <w:trPr>
          <w:cantSplit/>
        </w:trPr>
        <w:tc>
          <w:tcPr>
            <w:tcW w:type="dxa" w:w="2600"/>
            <w:vAlign w:val="top"/>
            <w:tcMar>
              <w:top w:w="80" w:type="dxa"/>
              <w:start w:w="120" w:type="dxa"/>
              <w:bottom w:w="80" w:type="dxa"/>
              <w:end w:w="120" w:type="dxa"/>
            </w:tcMar>
          </w:tcPr>
          <w:p>
            <w:pPr>
              <w:spacing w:after="0"/>
            </w:pPr>
            <w:r>
              <w:rPr>
                <w:sz w:val="18"/>
              </w:rPr>
              <w:t>Deliberate cross-venue manipulation</w:t>
            </w:r>
          </w:p>
        </w:tc>
        <w:tc>
          <w:tcPr>
            <w:tcW w:type="dxa" w:w="3300"/>
            <w:vAlign w:val="top"/>
            <w:tcMar>
              <w:top w:w="80" w:type="dxa"/>
              <w:start w:w="120" w:type="dxa"/>
              <w:bottom w:w="80" w:type="dxa"/>
              <w:end w:w="120" w:type="dxa"/>
            </w:tcMar>
          </w:tcPr>
          <w:p>
            <w:pPr>
              <w:spacing w:after="0"/>
            </w:pPr>
            <w:r>
              <w:rPr>
                <w:sz w:val="18"/>
              </w:rPr>
              <w:t>Synchronized zero-execution removals plus price response and concentrated access.</w:t>
            </w:r>
          </w:p>
        </w:tc>
        <w:tc>
          <w:tcPr>
            <w:tcW w:type="dxa" w:w="3460"/>
            <w:vAlign w:val="top"/>
            <w:tcMar>
              <w:top w:w="80" w:type="dxa"/>
              <w:start w:w="120" w:type="dxa"/>
              <w:bottom w:w="80" w:type="dxa"/>
              <w:end w:w="120" w:type="dxa"/>
            </w:tcMar>
          </w:tcPr>
          <w:p>
            <w:pPr>
              <w:spacing w:after="0"/>
            </w:pPr>
            <w:r>
              <w:rPr>
                <w:sz w:val="18"/>
              </w:rPr>
              <w:t>Requires common control, false-liquidity purpose, related-side benefit, recurrence, and abnormal controls. Fails if actors are independent and behavior is ordinary.</w:t>
            </w:r>
          </w:p>
        </w:tc>
      </w:tr>
      <w:tr>
        <w:trPr>
          <w:cantSplit/>
        </w:trPr>
        <w:tc>
          <w:tcPr>
            <w:tcW w:type="dxa" w:w="2600"/>
            <w:vAlign w:val="top"/>
            <w:tcMar>
              <w:top w:w="80" w:type="dxa"/>
              <w:start w:w="120" w:type="dxa"/>
              <w:bottom w:w="80" w:type="dxa"/>
              <w:end w:w="120" w:type="dxa"/>
            </w:tcMar>
          </w:tcPr>
          <w:p>
            <w:pPr>
              <w:spacing w:after="0"/>
            </w:pPr>
            <w:r>
              <w:rPr>
                <w:sz w:val="18"/>
              </w:rPr>
              <w:t>Dealer gamma hedge/unwind</w:t>
            </w:r>
          </w:p>
        </w:tc>
        <w:tc>
          <w:tcPr>
            <w:tcW w:type="dxa" w:w="3300"/>
            <w:vAlign w:val="top"/>
            <w:tcMar>
              <w:top w:w="80" w:type="dxa"/>
              <w:start w:w="120" w:type="dxa"/>
              <w:bottom w:w="80" w:type="dxa"/>
              <w:end w:w="120" w:type="dxa"/>
            </w:tcMar>
          </w:tcPr>
          <w:p>
            <w:pPr>
              <w:spacing w:after="0"/>
            </w:pPr>
            <w:r>
              <w:rPr>
                <w:sz w:val="18"/>
              </w:rPr>
              <w:t>June 2 options activity was exceptional.</w:t>
            </w:r>
          </w:p>
        </w:tc>
        <w:tc>
          <w:tcPr>
            <w:tcW w:type="dxa" w:w="3460"/>
            <w:vAlign w:val="top"/>
            <w:tcMar>
              <w:top w:w="80" w:type="dxa"/>
              <w:start w:w="120" w:type="dxa"/>
              <w:bottom w:w="80" w:type="dxa"/>
              <w:end w:w="120" w:type="dxa"/>
            </w:tcMar>
          </w:tcPr>
          <w:p>
            <w:pPr>
              <w:spacing w:after="0"/>
            </w:pPr>
            <w:r>
              <w:rPr>
                <w:sz w:val="18"/>
              </w:rPr>
              <w:t>OCC/CMTA positions and hedge executions must produce the predicted share demand; fails if inventory/Greeks cannot.</w:t>
            </w:r>
          </w:p>
        </w:tc>
      </w:tr>
      <w:tr>
        <w:trPr>
          <w:cantSplit/>
        </w:trPr>
        <w:tc>
          <w:tcPr>
            <w:tcW w:type="dxa" w:w="2600"/>
            <w:vAlign w:val="top"/>
            <w:tcMar>
              <w:top w:w="80" w:type="dxa"/>
              <w:start w:w="120" w:type="dxa"/>
              <w:bottom w:w="80" w:type="dxa"/>
              <w:end w:w="120" w:type="dxa"/>
            </w:tcMar>
          </w:tcPr>
          <w:p>
            <w:pPr>
              <w:spacing w:after="0"/>
            </w:pPr>
            <w:r>
              <w:rPr>
                <w:sz w:val="18"/>
              </w:rPr>
              <w:t>Corporate issuance absorbed demand</w:t>
            </w:r>
          </w:p>
        </w:tc>
        <w:tc>
          <w:tcPr>
            <w:tcW w:type="dxa" w:w="3300"/>
            <w:vAlign w:val="top"/>
            <w:tcMar>
              <w:top w:w="80" w:type="dxa"/>
              <w:start w:w="120" w:type="dxa"/>
              <w:bottom w:w="80" w:type="dxa"/>
              <w:end w:w="120" w:type="dxa"/>
            </w:tcMar>
          </w:tcPr>
          <w:p>
            <w:pPr>
              <w:spacing w:after="0"/>
            </w:pPr>
            <w:r>
              <w:rPr>
                <w:sz w:val="18"/>
              </w:rPr>
              <w:t>20.05 million shares were issued June 1–3.</w:t>
            </w:r>
          </w:p>
        </w:tc>
        <w:tc>
          <w:tcPr>
            <w:tcW w:type="dxa" w:w="3460"/>
            <w:vAlign w:val="top"/>
            <w:tcMar>
              <w:top w:w="80" w:type="dxa"/>
              <w:start w:w="120" w:type="dxa"/>
              <w:bottom w:w="80" w:type="dxa"/>
              <w:end w:w="120" w:type="dxa"/>
            </w:tcMar>
          </w:tcPr>
          <w:p>
            <w:pPr>
              <w:spacing w:after="0"/>
            </w:pPr>
            <w:r>
              <w:rPr>
                <w:sz w:val="18"/>
              </w:rPr>
              <w:t>Allocation, delivery, resale, and loan records close the sources-and-uses ledger; weakens if residual flow remains large.</w:t>
            </w:r>
          </w:p>
        </w:tc>
      </w:tr>
      <w:tr>
        <w:trPr>
          <w:cantSplit/>
        </w:trPr>
        <w:tc>
          <w:tcPr>
            <w:tcW w:type="dxa" w:w="2600"/>
            <w:vAlign w:val="top"/>
            <w:tcMar>
              <w:top w:w="80" w:type="dxa"/>
              <w:start w:w="120" w:type="dxa"/>
              <w:bottom w:w="80" w:type="dxa"/>
              <w:end w:w="120" w:type="dxa"/>
            </w:tcMar>
          </w:tcPr>
          <w:p>
            <w:pPr>
              <w:spacing w:after="0"/>
            </w:pPr>
            <w:r>
              <w:rPr>
                <w:sz w:val="18"/>
              </w:rPr>
              <w:t>Gross covering offset by replacement shorts</w:t>
            </w:r>
          </w:p>
        </w:tc>
        <w:tc>
          <w:tcPr>
            <w:tcW w:type="dxa" w:w="3300"/>
            <w:vAlign w:val="top"/>
            <w:tcMar>
              <w:top w:w="80" w:type="dxa"/>
              <w:start w:w="120" w:type="dxa"/>
              <w:bottom w:w="80" w:type="dxa"/>
              <w:end w:w="120" w:type="dxa"/>
            </w:tcMar>
          </w:tcPr>
          <w:p>
            <w:pPr>
              <w:spacing w:after="0"/>
            </w:pPr>
            <w:r>
              <w:rPr>
                <w:sz w:val="18"/>
              </w:rPr>
              <w:t>Net short interest fell but remained tens of millions; later rose.</w:t>
            </w:r>
          </w:p>
        </w:tc>
        <w:tc>
          <w:tcPr>
            <w:tcW w:type="dxa" w:w="3460"/>
            <w:vAlign w:val="top"/>
            <w:tcMar>
              <w:top w:w="80" w:type="dxa"/>
              <w:start w:w="120" w:type="dxa"/>
              <w:bottom w:w="80" w:type="dxa"/>
              <w:end w:w="120" w:type="dxa"/>
            </w:tcMar>
          </w:tcPr>
          <w:p>
            <w:pPr>
              <w:spacing w:after="0"/>
            </w:pPr>
            <w:r>
              <w:rPr>
                <w:sz w:val="18"/>
              </w:rPr>
              <w:t>Participant positions, locates, stock loan, swaps, and short markings show old cover and new shorts; fails if no replacement exposure exists.</w:t>
            </w:r>
          </w:p>
        </w:tc>
      </w:tr>
      <w:tr>
        <w:trPr>
          <w:cantSplit/>
        </w:trPr>
        <w:tc>
          <w:tcPr>
            <w:tcW w:type="dxa" w:w="2600"/>
            <w:vAlign w:val="top"/>
            <w:tcMar>
              <w:top w:w="80" w:type="dxa"/>
              <w:start w:w="120" w:type="dxa"/>
              <w:bottom w:w="80" w:type="dxa"/>
              <w:end w:w="120" w:type="dxa"/>
            </w:tcMar>
          </w:tcPr>
          <w:p>
            <w:pPr>
              <w:spacing w:after="0"/>
            </w:pPr>
            <w:r>
              <w:rPr>
                <w:sz w:val="18"/>
              </w:rPr>
              <w:t>Settlement/CNS pressure</w:t>
            </w:r>
          </w:p>
        </w:tc>
        <w:tc>
          <w:tcPr>
            <w:tcW w:type="dxa" w:w="3300"/>
            <w:vAlign w:val="top"/>
            <w:tcMar>
              <w:top w:w="80" w:type="dxa"/>
              <w:start w:w="120" w:type="dxa"/>
              <w:bottom w:w="80" w:type="dxa"/>
              <w:end w:w="120" w:type="dxa"/>
            </w:tcMar>
          </w:tcPr>
          <w:p>
            <w:pPr>
              <w:spacing w:after="0"/>
            </w:pPr>
            <w:r>
              <w:rPr>
                <w:sz w:val="18"/>
              </w:rPr>
              <w:t>Millions of FTDs and threshold listing overlapped the decline.</w:t>
            </w:r>
          </w:p>
        </w:tc>
        <w:tc>
          <w:tcPr>
            <w:tcW w:type="dxa" w:w="3460"/>
            <w:vAlign w:val="top"/>
            <w:tcMar>
              <w:top w:w="80" w:type="dxa"/>
              <w:start w:w="120" w:type="dxa"/>
              <w:bottom w:w="80" w:type="dxa"/>
              <w:end w:w="120" w:type="dxa"/>
            </w:tcMar>
          </w:tcPr>
          <w:p>
            <w:pPr>
              <w:spacing w:after="0"/>
            </w:pPr>
            <w:r>
              <w:rPr>
                <w:sz w:val="18"/>
              </w:rPr>
              <w:t>NSCC participant-age and closeout records align with price/flow; fails if obligations settled ordinarily and are unrelated.</w:t>
            </w:r>
          </w:p>
        </w:tc>
      </w:tr>
    </w:tbl>
    <w:p>
      <w:pPr>
        <w:spacing w:after="0"/>
      </w:pPr>
    </w:p>
    <w:p>
      <w:pPr>
        <w:pStyle w:val="Heading1"/>
      </w:pPr>
      <w:r>
        <w:t>10. Exact controlled-record investigation</w:t>
      </w:r>
    </w:p>
    <w:p>
      <w:r>
        <w:t>The public record has been exhausted for actor attribution. The next step is preservation and compelled production, not another generic web search.</w:t>
      </w:r>
    </w:p>
    <w:p>
      <w:pPr>
        <w:pStyle w:val="ListNumber"/>
      </w:pPr>
      <w:r>
        <w:t>CAT lifecycle and Electronic Blue Sheet records for AMC from June 1–3, 2021, with the strict window fixed at 13:55:30.080649–13:55:33.975789 ET and the earlier 13:10:12 ET episode preserved for comparison. Produce originating firm, MPID, account, route, modification, cancellation, execution, capacity, short-sale marking, and order-event timestamps.</w:t>
      </w:r>
    </w:p>
    <w:p>
      <w:pPr>
        <w:pStyle w:val="ListNumber"/>
      </w:pPr>
      <w:r>
        <w:t>Citadel Securities AMC inventory, market-maker and DMM order logs, risk limits, delta/gamma hedging, related option positions, Rule 605 source records, customer-routing source fields, and all AMC communications for June 1–3 and June 21–July 16.</w:t>
      </w:r>
    </w:p>
    <w:p>
      <w:pPr>
        <w:pStyle w:val="ListNumber"/>
      </w:pPr>
      <w:r>
        <w:t>OCC member-level AMC option positions, opening/closing indicators, CMTA/give-up fields, exercises/assignments, and margin records sufficient to reconstruct each member’s hedge requirement.</w:t>
      </w:r>
    </w:p>
    <w:p>
      <w:pPr>
        <w:pStyle w:val="ListNumber"/>
      </w:pPr>
      <w:r>
        <w:t>NSCC CNS and DTC participant-level AMC obligations, fails, ages, stock-borrow activity, buy-ins, closeouts, deliveries, and netting from May 27–July 16.</w:t>
      </w:r>
    </w:p>
    <w:p>
      <w:pPr>
        <w:pStyle w:val="ListNumber"/>
      </w:pPr>
      <w:r>
        <w:t>BNY Mellon ACERS AMC custody and transaction records; daily stock-loan ledger; borrower identities; recalls/returns; collateral and fees; exact 2021 approved-borrower schedule; settlement instructions; and executing-broker fields for May 27 and June 2.</w:t>
      </w:r>
    </w:p>
    <w:p>
      <w:pPr>
        <w:pStyle w:val="ListNumber"/>
      </w:pPr>
      <w:r>
        <w:t>B. Riley, Citigroup, AMC, and purchaser records for the June 1 Mudrick and June 3 ATM transactions: instructions, time-stamped executions, allocations, settlement, resale, beneficial purchasers, and any lending eligibility.</w:t>
      </w:r>
    </w:p>
    <w:p>
      <w:pPr>
        <w:pStyle w:val="ListNumber"/>
      </w:pPr>
      <w:r>
        <w:t>Locate, easy-to-borrow, threshold-closeout, and Rule 204 records for every account contributing to the June 21–July 2 FTD balances.</w:t>
      </w:r>
    </w:p>
    <w:p>
      <w:pPr>
        <w:pStyle w:val="ListNumber"/>
      </w:pPr>
      <w:r>
        <w:t>Matched high-volatility control-stock MBO and full July 1–16 AMC MBO to measure recurrence and abnormality. This is useful, but it is secondary to the already-existing regulator-held participant records and should not require the community to spend thousands before demanding those records.</w:t>
      </w:r>
    </w:p>
    <w:p>
      <w:pPr>
        <w:pStyle w:val="Heading1"/>
      </w:pPr>
      <w:r>
        <w:t>11. Decision matrix</w:t>
      </w:r>
    </w:p>
    <w:tbl>
      <w:tblPr>
        <w:tblStyle w:val="TableGrid"/>
        <w:tblW w:type="dxa" w:w="9360"/>
        <w:jc w:val="center"/>
        <w:tblLayout w:type="fixed"/>
        <w:tblLook w:firstColumn="1" w:firstRow="1" w:lastColumn="0" w:lastRow="0" w:noHBand="0" w:noVBand="1" w:val="04A0"/>
      </w:tblPr>
      <w:tblGrid>
        <w:gridCol w:w="4900"/>
        <w:gridCol w:w="4460"/>
      </w:tblGrid>
      <w:tr>
        <w:trPr>
          <w:trHeight w:hRule="atLeast"/>
          <w:tblHeader w:val="true"/>
        </w:trPr>
        <w:tc>
          <w:tcPr>
            <w:tcW w:type="dxa" w:w="4900"/>
            <w:shd w:fill="F2F4F7"/>
            <w:vAlign w:val="center"/>
            <w:tcMar>
              <w:top w:w="80" w:type="dxa"/>
              <w:start w:w="120" w:type="dxa"/>
              <w:bottom w:w="80" w:type="dxa"/>
              <w:end w:w="120" w:type="dxa"/>
            </w:tcMar>
          </w:tcPr>
          <w:p>
            <w:pPr>
              <w:spacing w:after="0"/>
            </w:pPr>
            <w:r>
              <w:rPr>
                <w:b/>
                <w:color w:val="17365D"/>
                <w:sz w:val="18"/>
              </w:rPr>
              <w:t>Result from controlled records</w:t>
            </w:r>
          </w:p>
        </w:tc>
        <w:tc>
          <w:tcPr>
            <w:tcW w:type="dxa" w:w="4460"/>
            <w:shd w:fill="F2F4F7"/>
            <w:vAlign w:val="center"/>
            <w:tcMar>
              <w:top w:w="80" w:type="dxa"/>
              <w:start w:w="120" w:type="dxa"/>
              <w:bottom w:w="80" w:type="dxa"/>
              <w:end w:w="120" w:type="dxa"/>
            </w:tcMar>
          </w:tcPr>
          <w:p>
            <w:pPr>
              <w:spacing w:after="0"/>
            </w:pPr>
            <w:r>
              <w:rPr>
                <w:b/>
                <w:color w:val="17365D"/>
                <w:sz w:val="18"/>
              </w:rPr>
              <w:t>Consequence</w:t>
            </w:r>
          </w:p>
        </w:tc>
      </w:tr>
      <w:tr>
        <w:trPr>
          <w:cantSplit/>
        </w:trPr>
        <w:tc>
          <w:tcPr>
            <w:tcW w:type="dxa" w:w="4900"/>
            <w:vAlign w:val="top"/>
            <w:tcMar>
              <w:top w:w="80" w:type="dxa"/>
              <w:start w:w="120" w:type="dxa"/>
              <w:bottom w:w="80" w:type="dxa"/>
              <w:end w:w="120" w:type="dxa"/>
            </w:tcMar>
          </w:tcPr>
          <w:p>
            <w:pPr>
              <w:spacing w:after="0"/>
            </w:pPr>
            <w:r>
              <w:rPr>
                <w:sz w:val="18"/>
              </w:rPr>
              <w:t>CAT ties Citadel-controlled IDs to the 103 chains and related-side benefit/hedge trades</w:t>
            </w:r>
          </w:p>
        </w:tc>
        <w:tc>
          <w:tcPr>
            <w:tcW w:type="dxa" w:w="4460"/>
            <w:vAlign w:val="top"/>
            <w:tcMar>
              <w:top w:w="80" w:type="dxa"/>
              <w:start w:w="120" w:type="dxa"/>
              <w:bottom w:w="80" w:type="dxa"/>
              <w:end w:w="120" w:type="dxa"/>
            </w:tcMar>
          </w:tcPr>
          <w:p>
            <w:pPr>
              <w:spacing w:after="0"/>
            </w:pPr>
            <w:r>
              <w:rPr>
                <w:sz w:val="18"/>
              </w:rPr>
              <w:t>Directly strengthens event attribution; communications and intent analysis become central.</w:t>
            </w:r>
          </w:p>
        </w:tc>
      </w:tr>
      <w:tr>
        <w:trPr>
          <w:cantSplit/>
        </w:trPr>
        <w:tc>
          <w:tcPr>
            <w:tcW w:type="dxa" w:w="4900"/>
            <w:vAlign w:val="top"/>
            <w:tcMar>
              <w:top w:w="80" w:type="dxa"/>
              <w:start w:w="120" w:type="dxa"/>
              <w:bottom w:w="80" w:type="dxa"/>
              <w:end w:w="120" w:type="dxa"/>
            </w:tcMar>
          </w:tcPr>
          <w:p>
            <w:pPr>
              <w:spacing w:after="0"/>
            </w:pPr>
            <w:r>
              <w:rPr>
                <w:sz w:val="18"/>
              </w:rPr>
              <w:t>CAT shows unrelated market makers reacting independently to a common volatility signal</w:t>
            </w:r>
          </w:p>
        </w:tc>
        <w:tc>
          <w:tcPr>
            <w:tcW w:type="dxa" w:w="4460"/>
            <w:vAlign w:val="top"/>
            <w:tcMar>
              <w:top w:w="80" w:type="dxa"/>
              <w:start w:w="120" w:type="dxa"/>
              <w:bottom w:w="80" w:type="dxa"/>
              <w:end w:w="120" w:type="dxa"/>
            </w:tcMar>
          </w:tcPr>
          <w:p>
            <w:pPr>
              <w:spacing w:after="0"/>
            </w:pPr>
            <w:r>
              <w:rPr>
                <w:sz w:val="18"/>
              </w:rPr>
              <w:t>Citadel manipulation accusation materially weakens; risk-repricing explanation strengthens.</w:t>
            </w:r>
          </w:p>
        </w:tc>
      </w:tr>
      <w:tr>
        <w:trPr>
          <w:cantSplit/>
        </w:trPr>
        <w:tc>
          <w:tcPr>
            <w:tcW w:type="dxa" w:w="4900"/>
            <w:vAlign w:val="top"/>
            <w:tcMar>
              <w:top w:w="80" w:type="dxa"/>
              <w:start w:w="120" w:type="dxa"/>
              <w:bottom w:w="80" w:type="dxa"/>
              <w:end w:w="120" w:type="dxa"/>
            </w:tcMar>
          </w:tcPr>
          <w:p>
            <w:pPr>
              <w:spacing w:after="0"/>
            </w:pPr>
            <w:r>
              <w:rPr>
                <w:sz w:val="18"/>
              </w:rPr>
              <w:t>BNY ledger names a Citadel entity as borrower of AMC shares and shows a recall/return aligned to the event</w:t>
            </w:r>
          </w:p>
        </w:tc>
        <w:tc>
          <w:tcPr>
            <w:tcW w:type="dxa" w:w="4460"/>
            <w:vAlign w:val="top"/>
            <w:tcMar>
              <w:top w:w="80" w:type="dxa"/>
              <w:start w:w="120" w:type="dxa"/>
              <w:bottom w:w="80" w:type="dxa"/>
              <w:end w:w="120" w:type="dxa"/>
            </w:tcMar>
          </w:tcPr>
          <w:p>
            <w:pPr>
              <w:spacing w:after="0"/>
            </w:pPr>
            <w:r>
              <w:rPr>
                <w:sz w:val="18"/>
              </w:rPr>
              <w:t>Creates a direct Citadel–BNY–AMC stock-loan chain; still requires order/settlement link to the episode.</w:t>
            </w:r>
          </w:p>
        </w:tc>
      </w:tr>
      <w:tr>
        <w:trPr>
          <w:cantSplit/>
        </w:trPr>
        <w:tc>
          <w:tcPr>
            <w:tcW w:type="dxa" w:w="4900"/>
            <w:vAlign w:val="top"/>
            <w:tcMar>
              <w:top w:w="80" w:type="dxa"/>
              <w:start w:w="120" w:type="dxa"/>
              <w:bottom w:w="80" w:type="dxa"/>
              <w:end w:w="120" w:type="dxa"/>
            </w:tcMar>
          </w:tcPr>
          <w:p>
            <w:pPr>
              <w:spacing w:after="0"/>
            </w:pPr>
            <w:r>
              <w:rPr>
                <w:sz w:val="18"/>
              </w:rPr>
              <w:t>BNY ledger shows no AMC loan or a non-Citadel borrower; trade detail names another broker</w:t>
            </w:r>
          </w:p>
        </w:tc>
        <w:tc>
          <w:tcPr>
            <w:tcW w:type="dxa" w:w="4460"/>
            <w:vAlign w:val="top"/>
            <w:tcMar>
              <w:top w:w="80" w:type="dxa"/>
              <w:start w:w="120" w:type="dxa"/>
              <w:bottom w:w="80" w:type="dxa"/>
              <w:end w:w="120" w:type="dxa"/>
            </w:tcMar>
          </w:tcPr>
          <w:p>
            <w:pPr>
              <w:spacing w:after="0"/>
            </w:pPr>
            <w:r>
              <w:rPr>
                <w:sz w:val="18"/>
              </w:rPr>
              <w:t>The BNY/Citadel custody-loan accusation narrows or fails for this account.</w:t>
            </w:r>
          </w:p>
        </w:tc>
      </w:tr>
      <w:tr>
        <w:trPr>
          <w:cantSplit/>
        </w:trPr>
        <w:tc>
          <w:tcPr>
            <w:tcW w:type="dxa" w:w="4900"/>
            <w:vAlign w:val="top"/>
            <w:tcMar>
              <w:top w:w="80" w:type="dxa"/>
              <w:start w:w="120" w:type="dxa"/>
              <w:bottom w:w="80" w:type="dxa"/>
              <w:end w:w="120" w:type="dxa"/>
            </w:tcMar>
          </w:tcPr>
          <w:p>
            <w:pPr>
              <w:spacing w:after="0"/>
            </w:pPr>
            <w:r>
              <w:rPr>
                <w:sz w:val="18"/>
              </w:rPr>
              <w:t>OCC/Citadel records show option inventory required the observed hedge trades</w:t>
            </w:r>
          </w:p>
        </w:tc>
        <w:tc>
          <w:tcPr>
            <w:tcW w:type="dxa" w:w="4460"/>
            <w:vAlign w:val="top"/>
            <w:tcMar>
              <w:top w:w="80" w:type="dxa"/>
              <w:start w:w="120" w:type="dxa"/>
              <w:bottom w:w="80" w:type="dxa"/>
              <w:end w:w="120" w:type="dxa"/>
            </w:tcMar>
          </w:tcPr>
          <w:p>
            <w:pPr>
              <w:spacing w:after="0"/>
            </w:pPr>
            <w:r>
              <w:rPr>
                <w:sz w:val="18"/>
              </w:rPr>
              <w:t>Lawful or unlawful hedge explanation can be evaluated from actual positions rather than gross prints.</w:t>
            </w:r>
          </w:p>
        </w:tc>
      </w:tr>
      <w:tr>
        <w:trPr>
          <w:cantSplit/>
        </w:trPr>
        <w:tc>
          <w:tcPr>
            <w:tcW w:type="dxa" w:w="4900"/>
            <w:vAlign w:val="top"/>
            <w:tcMar>
              <w:top w:w="80" w:type="dxa"/>
              <w:start w:w="120" w:type="dxa"/>
              <w:bottom w:w="80" w:type="dxa"/>
              <w:end w:w="120" w:type="dxa"/>
            </w:tcMar>
          </w:tcPr>
          <w:p>
            <w:pPr>
              <w:spacing w:after="0"/>
            </w:pPr>
            <w:r>
              <w:rPr>
                <w:sz w:val="18"/>
              </w:rPr>
              <w:t>No related benefit, no recurrence, normal controls, correct marking/locates</w:t>
            </w:r>
          </w:p>
        </w:tc>
        <w:tc>
          <w:tcPr>
            <w:tcW w:type="dxa" w:w="4460"/>
            <w:vAlign w:val="top"/>
            <w:tcMar>
              <w:top w:w="80" w:type="dxa"/>
              <w:start w:w="120" w:type="dxa"/>
              <w:bottom w:w="80" w:type="dxa"/>
              <w:end w:w="120" w:type="dxa"/>
            </w:tcMar>
          </w:tcPr>
          <w:p>
            <w:pPr>
              <w:spacing w:after="0"/>
            </w:pPr>
            <w:r>
              <w:rPr>
                <w:sz w:val="18"/>
              </w:rPr>
              <w:t>Manipulation hypothesis fails even though the cancellation mechanics remain documented.</w:t>
            </w:r>
          </w:p>
        </w:tc>
      </w:tr>
    </w:tbl>
    <w:p>
      <w:pPr>
        <w:spacing w:after="0"/>
      </w:pPr>
    </w:p>
    <w:p>
      <w:pPr>
        <w:pStyle w:val="Heading1"/>
      </w:pPr>
      <w:r>
        <w:t>12. Final assessment</w:t>
      </w:r>
    </w:p>
    <w:p>
      <w:r>
        <w:t>The June 2 event is sufficiently concrete to justify a regulator-grade investigation. The mechanics, price path, options concentration, threshold sequence, off-exchange flow, and Citadel’s formal AMC roles are documented. Citadel Securities is the strongest named market-structure target because the evidence establishes both formal assignment and very large AMC-specific execution activity. BNY Mellon is a necessary custody/lending/settlement target because it holds the records capable of proving or disproving a direct stock-loan and trade bridge.</w:t>
      </w:r>
    </w:p>
    <w:p>
      <w:r>
        <w:t>What is not yet proved is decisive: the event-level participant, beneficial owner, short marking, locate, option hedge, stock-loan borrower, settlement obligation, and intent. The responsible public position is therefore direct but conditional: accuse, identify the evidence, demand the controlled records, publish the falsifiers, and do not convert proximity into a verdict.</w:t>
      </w:r>
    </w:p>
    <w:p>
      <w:pPr>
        <w:pStyle w:val="Heading1"/>
      </w:pPr>
      <w:r>
        <w:t>Appendix A — principal sources</w:t>
      </w:r>
    </w:p>
    <w:p>
      <w:pPr>
        <w:pStyle w:val="ListBullet"/>
        <w:spacing w:after="0" w:line="180" w:lineRule="exact"/>
      </w:pPr>
      <w:r>
        <w:rPr>
          <w:b/>
          <w:sz w:val="15"/>
        </w:rPr>
        <w:t xml:space="preserve">[J-01] </w:t>
      </w:r>
      <w:hyperlink r:id="rId11">
        <w:r>
          <w:rPr>
            <w:color w:val="2E74B5"/>
            <w:u w:val="single"/>
            <w:sz w:val="15"/>
            <w:szCs w:val="15"/>
          </w:rPr>
          <w:t>AMC June 2–July 14 Master Investigation Control workbook (local evidence artifact)</w:t>
        </w:r>
      </w:hyperlink>
    </w:p>
    <w:p>
      <w:pPr>
        <w:pStyle w:val="ListBullet"/>
        <w:spacing w:after="0" w:line="180" w:lineRule="exact"/>
      </w:pPr>
      <w:r>
        <w:rPr>
          <w:b/>
          <w:sz w:val="15"/>
        </w:rPr>
        <w:t xml:space="preserve">[J-02] </w:t>
      </w:r>
      <w:hyperlink r:id="rId11">
        <w:r>
          <w:rPr>
            <w:color w:val="2E74B5"/>
            <w:u w:val="single"/>
            <w:sz w:val="15"/>
            <w:szCs w:val="15"/>
          </w:rPr>
          <w:t>AMC OPRA Analysis Results package (local evidence artifact)</w:t>
        </w:r>
      </w:hyperlink>
    </w:p>
    <w:p>
      <w:pPr>
        <w:pStyle w:val="ListBullet"/>
        <w:spacing w:after="0" w:line="180" w:lineRule="exact"/>
      </w:pPr>
      <w:r>
        <w:rPr>
          <w:b/>
          <w:sz w:val="15"/>
        </w:rPr>
        <w:t xml:space="preserve">[J-03] </w:t>
      </w:r>
      <w:hyperlink r:id="rId11">
        <w:r>
          <w:rPr>
            <w:color w:val="2E74B5"/>
            <w:u w:val="single"/>
            <w:sz w:val="15"/>
            <w:szCs w:val="15"/>
          </w:rPr>
          <w:t>NYSE/Arca Citadel primary-source assignment chain (local evidence artifact)</w:t>
        </w:r>
      </w:hyperlink>
    </w:p>
    <w:p>
      <w:pPr>
        <w:pStyle w:val="ListBullet"/>
        <w:spacing w:after="0" w:line="180" w:lineRule="exact"/>
      </w:pPr>
      <w:r>
        <w:rPr>
          <w:b/>
          <w:sz w:val="15"/>
        </w:rPr>
        <w:t xml:space="preserve">[J-04] </w:t>
      </w:r>
      <w:hyperlink r:id="rId12">
        <w:r>
          <w:rPr>
            <w:color w:val="2E74B5"/>
            <w:u w:val="single"/>
            <w:sz w:val="15"/>
            <w:szCs w:val="15"/>
          </w:rPr>
          <w:t>AMC June 3, 2021 prospectus: $72.62 high and 501.78 million shares</w:t>
        </w:r>
      </w:hyperlink>
    </w:p>
    <w:p>
      <w:pPr>
        <w:pStyle w:val="ListBullet"/>
        <w:spacing w:after="0" w:line="180" w:lineRule="exact"/>
      </w:pPr>
      <w:r>
        <w:rPr>
          <w:b/>
          <w:sz w:val="15"/>
        </w:rPr>
        <w:t xml:space="preserve">[J-05] </w:t>
      </w:r>
      <w:hyperlink r:id="rId13">
        <w:r>
          <w:rPr>
            <w:color w:val="2E74B5"/>
            <w:u w:val="single"/>
            <w:sz w:val="15"/>
            <w:szCs w:val="15"/>
          </w:rPr>
          <w:t>SEC fails-to-deliver data and methodology</w:t>
        </w:r>
      </w:hyperlink>
    </w:p>
    <w:p>
      <w:pPr>
        <w:pStyle w:val="ListBullet"/>
        <w:spacing w:after="0" w:line="180" w:lineRule="exact"/>
      </w:pPr>
      <w:r>
        <w:rPr>
          <w:b/>
          <w:sz w:val="15"/>
        </w:rPr>
        <w:t xml:space="preserve">[J-06] </w:t>
      </w:r>
      <w:hyperlink r:id="rId14">
        <w:r>
          <w:rPr>
            <w:color w:val="2E74B5"/>
            <w:u w:val="single"/>
            <w:sz w:val="15"/>
            <w:szCs w:val="15"/>
          </w:rPr>
          <w:t>NYSE Regulation SHO threshold lists</w:t>
        </w:r>
      </w:hyperlink>
    </w:p>
    <w:p>
      <w:pPr>
        <w:pStyle w:val="ListBullet"/>
        <w:spacing w:after="0" w:line="180" w:lineRule="exact"/>
      </w:pPr>
      <w:r>
        <w:rPr>
          <w:b/>
          <w:sz w:val="15"/>
        </w:rPr>
        <w:t xml:space="preserve">[J-07] </w:t>
      </w:r>
      <w:hyperlink r:id="rId15">
        <w:r>
          <w:rPr>
            <w:color w:val="2E74B5"/>
            <w:u w:val="single"/>
            <w:sz w:val="15"/>
            <w:szCs w:val="15"/>
          </w:rPr>
          <w:t>FINRA daily short-sale volume files and methodology</w:t>
        </w:r>
      </w:hyperlink>
    </w:p>
    <w:p>
      <w:pPr>
        <w:pStyle w:val="ListBullet"/>
        <w:spacing w:after="0" w:line="180" w:lineRule="exact"/>
      </w:pPr>
      <w:r>
        <w:rPr>
          <w:b/>
          <w:sz w:val="15"/>
        </w:rPr>
        <w:t xml:space="preserve">[J-08] </w:t>
      </w:r>
      <w:hyperlink r:id="rId16">
        <w:r>
          <w:rPr>
            <w:color w:val="2E74B5"/>
            <w:u w:val="single"/>
            <w:sz w:val="15"/>
            <w:szCs w:val="15"/>
          </w:rPr>
          <w:t>FINRA May 28, 2021 AMC short-interest file</w:t>
        </w:r>
      </w:hyperlink>
    </w:p>
    <w:p>
      <w:pPr>
        <w:pStyle w:val="ListBullet"/>
        <w:spacing w:after="0" w:line="180" w:lineRule="exact"/>
      </w:pPr>
      <w:r>
        <w:rPr>
          <w:b/>
          <w:sz w:val="15"/>
        </w:rPr>
        <w:t xml:space="preserve">[J-09] </w:t>
      </w:r>
      <w:hyperlink r:id="rId17">
        <w:r>
          <w:rPr>
            <w:color w:val="2E74B5"/>
            <w:u w:val="single"/>
            <w:sz w:val="15"/>
            <w:szCs w:val="15"/>
          </w:rPr>
          <w:t>FINRA June 15, 2021 AMC short-interest file</w:t>
        </w:r>
      </w:hyperlink>
    </w:p>
    <w:p>
      <w:pPr>
        <w:pStyle w:val="ListBullet"/>
        <w:spacing w:after="0" w:line="180" w:lineRule="exact"/>
      </w:pPr>
      <w:r>
        <w:rPr>
          <w:b/>
          <w:sz w:val="15"/>
        </w:rPr>
        <w:t xml:space="preserve">[J-10] </w:t>
      </w:r>
      <w:hyperlink r:id="rId18">
        <w:r>
          <w:rPr>
            <w:color w:val="2E74B5"/>
            <w:u w:val="single"/>
            <w:sz w:val="15"/>
            <w:szCs w:val="15"/>
          </w:rPr>
          <w:t>FINRA June 30, 2021 AMC short-interest file</w:t>
        </w:r>
      </w:hyperlink>
    </w:p>
    <w:p>
      <w:pPr>
        <w:pStyle w:val="ListBullet"/>
        <w:spacing w:after="0" w:line="180" w:lineRule="exact"/>
      </w:pPr>
      <w:r>
        <w:rPr>
          <w:b/>
          <w:sz w:val="15"/>
        </w:rPr>
        <w:t xml:space="preserve">[J-11] </w:t>
      </w:r>
      <w:hyperlink r:id="rId19">
        <w:r>
          <w:rPr>
            <w:color w:val="2E74B5"/>
            <w:u w:val="single"/>
            <w:sz w:val="15"/>
            <w:szCs w:val="15"/>
          </w:rPr>
          <w:t>FINRA July 15, 2021 AMC short-interest file</w:t>
        </w:r>
      </w:hyperlink>
    </w:p>
    <w:p>
      <w:pPr>
        <w:pStyle w:val="ListBullet"/>
        <w:spacing w:after="0" w:line="180" w:lineRule="exact"/>
      </w:pPr>
      <w:r>
        <w:rPr>
          <w:b/>
          <w:sz w:val="15"/>
        </w:rPr>
        <w:t xml:space="preserve">[J-12] </w:t>
      </w:r>
      <w:hyperlink r:id="rId20">
        <w:r>
          <w:rPr>
            <w:color w:val="2E74B5"/>
            <w:u w:val="single"/>
            <w:sz w:val="15"/>
            <w:szCs w:val="15"/>
          </w:rPr>
          <w:t>BNY Mellon 2010 securities-lending approved-borrower schedule</w:t>
        </w:r>
      </w:hyperlink>
    </w:p>
    <w:p>
      <w:pPr>
        <w:pStyle w:val="ListBullet"/>
        <w:spacing w:after="0" w:line="180" w:lineRule="exact"/>
      </w:pPr>
      <w:r>
        <w:rPr>
          <w:b/>
          <w:sz w:val="15"/>
        </w:rPr>
        <w:t xml:space="preserve">[J-13] </w:t>
      </w:r>
      <w:hyperlink r:id="rId21">
        <w:r>
          <w:rPr>
            <w:color w:val="2E74B5"/>
            <w:u w:val="single"/>
            <w:sz w:val="15"/>
            <w:szCs w:val="15"/>
          </w:rPr>
          <w:t>BNY Mellon July 1, 2022 approved-borrower schedule</w:t>
        </w:r>
      </w:hyperlink>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5B6573"/>
        <w:sz w:val="16"/>
      </w:rPr>
      <w:t xml:space="preserve">Prepared August 10, 2026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5B9BD5"/>
      </w:pBdr>
    </w:pPr>
    <w:r>
      <w:rPr>
        <w:rFonts w:ascii="Calibri" w:hAnsi="Calibri"/>
        <w:b/>
        <w:color w:val="17365D"/>
        <w:sz w:val="17"/>
      </w:rPr>
      <w:t>THE AMC APE CAGE  •  EVIDENCE REPORT</w:t>
    </w:r>
    <w:r>
      <w:t xml:space="preserve">    |    </w:t>
    </w:r>
    <w:r>
      <w:rPr>
        <w:rFonts w:ascii="Calibri" w:hAnsi="Calibri"/>
        <w:color w:val="5B6573"/>
        <w:sz w:val="17"/>
      </w:rPr>
      <w:t>JUNE 2, 2021 MARKET EVENT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64" w:lineRule="auto"/>
    </w:pPr>
    <w:rPr>
      <w:rFonts w:ascii="Calibri" w:hAnsi="Calibri"/>
      <w:color w:val="1F1F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hatgpt.com" TargetMode="External"/><Relationship Id="rId12" Type="http://schemas.openxmlformats.org/officeDocument/2006/relationships/hyperlink" Target="https://www.sec.gov/Archives/edgar/data/1411579/000110465921076090/tm2118373-1_424b5.htm" TargetMode="External"/><Relationship Id="rId13" Type="http://schemas.openxmlformats.org/officeDocument/2006/relationships/hyperlink" Target="https://www.sec.gov/data-research/sec-markets-data/fails-deliver-data" TargetMode="External"/><Relationship Id="rId14" Type="http://schemas.openxmlformats.org/officeDocument/2006/relationships/hyperlink" Target="https://www.nyse.com/regulation/regulation-sho" TargetMode="External"/><Relationship Id="rId15" Type="http://schemas.openxmlformats.org/officeDocument/2006/relationships/hyperlink" Target="https://www.finra.org/finra-data/browse-catalog/short-sale-volume-data/daily-short-sale-volume-files" TargetMode="External"/><Relationship Id="rId16" Type="http://schemas.openxmlformats.org/officeDocument/2006/relationships/hyperlink" Target="https://cdn.finra.org/equity/otcmarket/biweekly/shrt20210528.csv" TargetMode="External"/><Relationship Id="rId17" Type="http://schemas.openxmlformats.org/officeDocument/2006/relationships/hyperlink" Target="https://cdn.finra.org/equity/otcmarket/biweekly/shrt20210615.csv" TargetMode="External"/><Relationship Id="rId18" Type="http://schemas.openxmlformats.org/officeDocument/2006/relationships/hyperlink" Target="https://cdn.finra.org/equity/otcmarket/biweekly/shrt20210630.csv" TargetMode="External"/><Relationship Id="rId19" Type="http://schemas.openxmlformats.org/officeDocument/2006/relationships/hyperlink" Target="https://cdn.finra.org/equity/otcmarket/biweekly/shrt20210715.csv" TargetMode="External"/><Relationship Id="rId20" Type="http://schemas.openxmlformats.org/officeDocument/2006/relationships/hyperlink" Target="https://www.sec.gov/Archives/edgar/data/889284/000095012311006622/c41195bexv99whw7.htm" TargetMode="External"/><Relationship Id="rId21" Type="http://schemas.openxmlformats.org/officeDocument/2006/relationships/hyperlink" Target="https://www.sec.gov/Archives/edgar/data/1919700/000191970022000026/exh6-touchstoneetfslaabny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June 2, 2021 Market-Event Investigation</dc:title>
  <dc:subject>June 2021 AMC market-event reconstruction and attribution test</dc:subject>
  <dc:creator>James Allen / The AMC Ape Cage</dc:creator>
  <cp:keywords>AMC, Citadel Securities, BNY Mellon, market structure, investigation</cp:keywords>
  <dc:description>Evidence-bound investigative report; allegations are not adjudicated findings.</dc:description>
  <cp:lastModifiedBy/>
  <cp:revision>1</cp:revision>
  <dcterms:created xsi:type="dcterms:W3CDTF">2013-12-23T23:15:00Z</dcterms:created>
  <dcterms:modified xsi:type="dcterms:W3CDTF">2013-12-23T23:15:00Z</dcterms:modified>
  <cp:category/>
</cp:coreProperties>
</file>