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80" w:after="400"/>
        <w:jc w:val="center"/>
      </w:pPr>
      <w:r>
        <w:rPr>
          <w:rFonts w:ascii="Calibri" w:hAnsi="Calibri"/>
          <w:b/>
          <w:color w:val="8A6418"/>
          <w:sz w:val="20"/>
        </w:rPr>
        <w:t>FINANCIAL SMACKDOWN</w:t>
      </w:r>
    </w:p>
    <w:p>
      <w:pPr>
        <w:pStyle w:val="Title"/>
      </w:pPr>
      <w:r>
        <w:rPr>
          <w:rFonts w:ascii="Calibri" w:hAnsi="Calibri"/>
          <w:b/>
          <w:color w:val="0B2545"/>
          <w:sz w:val="60"/>
        </w:rPr>
        <w:t>AMC: The Half of June They Told Retail to Stop Studying</w:t>
      </w:r>
    </w:p>
    <w:p>
      <w:pPr>
        <w:pStyle w:val="Subtitle"/>
      </w:pPr>
      <w:r>
        <w:rPr>
          <w:rFonts w:ascii="Calibri" w:hAnsi="Calibri"/>
          <w:color w:val="1F4D78"/>
          <w:sz w:val="30"/>
        </w:rPr>
        <w:t>June 2021, 4.6 Million Options Contracts, Dealer Hedging, the Anti-Options Narrative, and the Records Still Hidden</w:t>
      </w:r>
    </w:p>
    <w:p>
      <w:pPr>
        <w:spacing w:before="40" w:after="400"/>
        <w:jc w:val="center"/>
      </w:pPr>
      <w:r>
        <w:rPr>
          <w:rFonts w:ascii="Calibri" w:hAnsi="Calibri"/>
          <w:b/>
          <w:color w:val="8A6418"/>
          <w:sz w:val="21"/>
        </w:rPr>
        <w:t>FINANCIAL SMACKDOWN - MASTER SHOW REPORT</w:t>
      </w:r>
    </w:p>
    <w:p>
      <w:pPr>
        <w:spacing w:after="80"/>
        <w:jc w:val="center"/>
      </w:pPr>
      <w:r>
        <w:rPr>
          <w:rFonts w:ascii="Calibri" w:hAnsi="Calibri"/>
          <w:color w:val="626A73"/>
          <w:sz w:val="21"/>
        </w:rPr>
        <w:t>Consolidated from the joint research and uploads of James and Matt</w:t>
      </w:r>
    </w:p>
    <w:p>
      <w:pPr>
        <w:spacing w:after="600"/>
        <w:jc w:val="center"/>
      </w:pPr>
      <w:r>
        <w:rPr>
          <w:rFonts w:ascii="Calibri" w:hAnsi="Calibri"/>
          <w:color w:val="626A73"/>
          <w:sz w:val="21"/>
        </w:rPr>
        <w:t>Prepared July 29, 2026</w:t>
      </w:r>
    </w:p>
    <w:p>
      <w:pPr>
        <w:pStyle w:val="Callout"/>
        <w:shd w:fill="FAF7EF"/>
        <w:keepLines/>
        <w:pBdr>
          <w:left w:val="single" w:sz="18" w:space="8" w:color="8A6418"/>
        </w:pBdr>
      </w:pPr>
      <w:r>
        <w:rPr>
          <w:rFonts w:ascii="Calibri" w:hAnsi="Calibri"/>
          <w:b/>
          <w:color w:val="0B2545"/>
          <w:sz w:val="21"/>
        </w:rPr>
        <w:t>Editorial position:</w:t>
      </w:r>
      <w:r>
        <w:rPr>
          <w:rFonts w:ascii="Calibri" w:hAnsi="Calibri"/>
          <w:color w:val="0B2545"/>
          <w:sz w:val="21"/>
        </w:rPr>
        <w:t xml:space="preserve"> This is not an advertisement to buy options. It is not a promise that AMC will squeeze, and it is not a dismissal of shares or fundamentals. It is a documented investigation into the market structure operating when AMC reached $72.62 - and into why discussing half of that structure later became taboo.</w:t>
      </w:r>
    </w:p>
    <w:p>
      <w:pPr>
        <w:spacing w:before="320" w:after="0"/>
        <w:jc w:val="center"/>
      </w:pPr>
      <w:r>
        <w:rPr>
          <w:rFonts w:ascii="Calibri" w:hAnsi="Calibri"/>
          <w:b/>
          <w:color w:val="626A73"/>
          <w:sz w:val="17"/>
        </w:rPr>
        <w:t>DOCUMENTED FACT  |  SUPPORTED INFERENCE  |  OPEN QUESTION</w:t>
      </w:r>
    </w:p>
    <w:p>
      <w:r>
        <w:br w:type="page"/>
      </w:r>
    </w:p>
    <w:p>
      <w:pPr>
        <w:pStyle w:val="Heading1"/>
        <w:keepNext/>
      </w:pPr>
      <w:r>
        <w:rPr>
          <w:rFonts w:ascii="Calibri" w:hAnsi="Calibri"/>
          <w:b/>
          <w:color w:val="2E74B5"/>
          <w:sz w:val="32"/>
        </w:rPr>
        <w:t>Cold open</w:t>
      </w:r>
    </w:p>
    <w:p>
      <w:pPr/>
      <w:r>
        <w:rPr>
          <w:rFonts w:ascii="Calibri" w:hAnsi="Calibri"/>
          <w:color w:val="111111"/>
          <w:sz w:val="22"/>
        </w:rPr>
        <w:t>That is why this week's show is dedicated to this exact subject.</w:t>
      </w:r>
    </w:p>
    <w:p>
      <w:pPr/>
      <w:r>
        <w:rPr>
          <w:rFonts w:ascii="Calibri" w:hAnsi="Calibri"/>
          <w:color w:val="111111"/>
          <w:sz w:val="22"/>
        </w:rPr>
        <w:t>We are going to show why June 2021 cannot honestly be reduced to a fundamental event, how the options chain and dealer-hedging mechanics could operate around the run, how the anti-options narrative spread afterward, and what may have happened when a large part of the retail community abandoned that side of the market.</w:t>
      </w:r>
    </w:p>
    <w:p>
      <w:pPr/>
      <w:r>
        <w:rPr>
          <w:rFonts w:ascii="Calibri" w:hAnsi="Calibri"/>
          <w:color w:val="111111"/>
          <w:sz w:val="22"/>
        </w:rPr>
        <w:t>We will examine the posts, the timeline, the 4.6 million options contracts, the FTD cluster, institutional positions, the intraday tape, and the evidence that remains hidden from the public. This will not be an advertisement telling people to buy options. It will be a documented investigation into why market structure was made forbidden to discuss inside a movement created by market structure.</w:t>
      </w:r>
    </w:p>
    <w:p>
      <w:pPr/>
      <w:r>
        <w:rPr>
          <w:rFonts w:ascii="Calibri" w:hAnsi="Calibri"/>
          <w:color w:val="111111"/>
          <w:sz w:val="22"/>
        </w:rPr>
        <w:t>Stop rewriting June 2021 as a fundamental victory. AMC's own filing contradicts that story. Stop calling people shills for discussing the machinery operating when AMC reached $72.62.</w:t>
      </w:r>
    </w:p>
    <w:p>
      <w:pPr/>
      <w:r>
        <w:rPr>
          <w:rFonts w:ascii="Calibri" w:hAnsi="Calibri"/>
          <w:color w:val="111111"/>
          <w:sz w:val="22"/>
        </w:rPr>
        <w:t>This is not shares versus options. It is evidence versus a narrative that convinced an entire community to stop examining half the market.</w:t>
      </w:r>
    </w:p>
    <w:p>
      <w:pPr>
        <w:pStyle w:val="Heading1"/>
        <w:keepNext/>
      </w:pPr>
      <w:r>
        <w:rPr>
          <w:rFonts w:ascii="Calibri" w:hAnsi="Calibri"/>
          <w:b/>
          <w:color w:val="2E74B5"/>
          <w:sz w:val="32"/>
        </w:rPr>
        <w:t>The conclusion before the argument</w:t>
      </w:r>
    </w:p>
    <w:p>
      <w:pPr/>
      <w:r>
        <w:rPr>
          <w:rFonts w:ascii="Calibri" w:hAnsi="Calibri"/>
          <w:color w:val="111111"/>
          <w:sz w:val="22"/>
        </w:rPr>
        <w:t>The public record supports a strong conclusion, but not the loudest possible conclusion.</w:t>
      </w:r>
    </w:p>
    <w:p>
      <w:pPr/>
      <w:r>
        <w:rPr>
          <w:rFonts w:ascii="Calibri" w:hAnsi="Calibri"/>
          <w:b/>
          <w:color w:val="111111"/>
          <w:sz w:val="22"/>
        </w:rPr>
        <w:t>Documented:</w:t>
      </w:r>
      <w:r>
        <w:rPr>
          <w:rFonts w:ascii="Calibri" w:hAnsi="Calibri"/>
          <w:color w:val="111111"/>
          <w:sz w:val="22"/>
        </w:rPr>
        <w:t xml:space="preserve"> AMC itself said its recent volatility and market prices reflected "market and trading dynamics unrelated to our underlying business, or macro or industry fundamentals." In the same filing, AMC identified retail sentiment, short interest, access to margin debt, options and other derivatives, and related hedging and trading factors as possible drivers. On June 2, 2021, AMC reached a regular-session high of $72.62 and closed at $62.55.</w:t>
      </w:r>
    </w:p>
    <w:p>
      <w:pPr/>
      <w:r>
        <w:rPr>
          <w:rFonts w:ascii="Calibri" w:hAnsi="Calibri"/>
          <w:b/>
          <w:color w:val="111111"/>
          <w:sz w:val="22"/>
        </w:rPr>
        <w:t>Documented:</w:t>
      </w:r>
      <w:r>
        <w:rPr>
          <w:rFonts w:ascii="Calibri" w:hAnsi="Calibri"/>
          <w:color w:val="111111"/>
          <w:sz w:val="22"/>
        </w:rPr>
        <w:t xml:space="preserve"> Approximately 4.6 million AMC options contracts traded on June 2 - about 2.8 million calls and 1.8 million puts. At the standard 100-share deliverable, those contracts referenced up to 460 million share-equivalents. That is a scale comparison, not proof that 460 million shares were purchased, exercised, or hedged.</w:t>
      </w:r>
    </w:p>
    <w:p>
      <w:pPr/>
      <w:r>
        <w:rPr>
          <w:rFonts w:ascii="Calibri" w:hAnsi="Calibri"/>
          <w:b/>
          <w:color w:val="111111"/>
          <w:sz w:val="22"/>
        </w:rPr>
        <w:t>Documented:</w:t>
      </w:r>
      <w:r>
        <w:rPr>
          <w:rFonts w:ascii="Calibri" w:hAnsi="Calibri"/>
          <w:color w:val="111111"/>
          <w:sz w:val="22"/>
        </w:rPr>
        <w:t xml:space="preserve"> The SEC describes the gamma-squeeze mechanism: when market makers write calls, rising call demand can cause them to purchase underlying shares as a hedge, and the hedge can change as price and option sensitivities change.</w:t>
      </w:r>
    </w:p>
    <w:p>
      <w:pPr/>
      <w:r>
        <w:rPr>
          <w:rFonts w:ascii="Calibri" w:hAnsi="Calibri"/>
          <w:b/>
          <w:color w:val="111111"/>
          <w:sz w:val="22"/>
        </w:rPr>
        <w:t>Documented:</w:t>
      </w:r>
      <w:r>
        <w:rPr>
          <w:rFonts w:ascii="Calibri" w:hAnsi="Calibri"/>
          <w:color w:val="111111"/>
          <w:sz w:val="22"/>
        </w:rPr>
        <w:t xml:space="preserve"> AMC's price then fell 53.96% from the June 2 high to the July 14 close while reported short interest remained in the tens of millions, FTD balances clustered in the millions, AMC entered the Regulation SHO threshold list, and enormous short-marked volume was reported off exchange.</w:t>
      </w:r>
    </w:p>
    <w:p>
      <w:pPr/>
      <w:r>
        <w:t>Supported inference: June 2 was demonstrably an options event as well as a stock event. Dealer hedging is a plausible contributor to the rise and later decline. Contemporaneous reporting about Mudrick's short $40 calls supplies a named example of institutional short-call pressure during the run, but not a complete market-wide hedge reconstruction.</w:t>
      </w:r>
    </w:p>
    <w:p>
      <w:pPr/>
      <w:r>
        <w:t>Not yet proven: Public data do not show the direction of every option trade, market makers' net gamma and delta, the strikes and expirations responsible for the pressure, or the stock hedges tied to each options position. Options order-lifecycle reporting to CAT did not begin until December 13, 2021, so the June options record must be reconstructed from exchange, OPRA, broker, OCC, and dealer records instead.</w:t>
      </w:r>
    </w:p>
    <w:p>
      <w:pPr/>
      <w:r>
        <w:rPr>
          <w:rFonts w:ascii="Calibri" w:hAnsi="Calibri"/>
          <w:b/>
          <w:color w:val="111111"/>
          <w:sz w:val="22"/>
        </w:rPr>
        <w:t>Supported inference:</w:t>
      </w:r>
      <w:r>
        <w:rPr>
          <w:rFonts w:ascii="Calibri" w:hAnsi="Calibri"/>
          <w:color w:val="111111"/>
          <w:sz w:val="22"/>
        </w:rPr>
        <w:t xml:space="preserve"> If a meaningful portion of retail call demand later disappeared, one source of potential dealer stock demand and positive feedback may also have weakened.</w:t>
      </w:r>
    </w:p>
    <w:p>
      <w:pPr/>
      <w:r>
        <w:rPr>
          <w:rFonts w:ascii="Calibri" w:hAnsi="Calibri"/>
          <w:b/>
          <w:color w:val="111111"/>
          <w:sz w:val="22"/>
        </w:rPr>
        <w:t>Not yet proven:</w:t>
      </w:r>
      <w:r>
        <w:rPr>
          <w:rFonts w:ascii="Calibri" w:hAnsi="Calibri"/>
          <w:color w:val="111111"/>
          <w:sz w:val="22"/>
        </w:rPr>
        <w:t xml:space="preserve"> Public posts establish that an anti-options message existed. They do not identify who originated it, prove it changed the behavior of most AMC investors, or quantify its effect on price.</w:t>
      </w:r>
    </w:p>
    <w:p>
      <w:pPr/>
      <w:r>
        <w:rPr>
          <w:rFonts w:ascii="Calibri" w:hAnsi="Calibri"/>
          <w:color w:val="111111"/>
          <w:sz w:val="22"/>
        </w:rPr>
        <w:t>The honest show line is:</w:t>
      </w:r>
    </w:p>
    <w:p>
      <w:pPr>
        <w:pStyle w:val="Callout"/>
        <w:shd w:fill="F4F6F9"/>
        <w:keepLines/>
        <w:pBdr>
          <w:left w:val="single" w:sz="18" w:space="8" w:color="2E74B5"/>
        </w:pBdr>
      </w:pPr>
      <w:r>
        <w:rPr>
          <w:rFonts w:ascii="Calibri" w:hAnsi="Calibri"/>
          <w:b/>
          <w:color w:val="0B2545"/>
          <w:sz w:val="22"/>
        </w:rPr>
        <w:t>June 2 was not a fundamental-only event. It was a market-structure event with an extraordinary options footprint. The public has enough evidence to investigate the hedge chain, but not the participant-level records required to reconstruct it.</w:t>
      </w:r>
    </w:p>
    <w:p>
      <w:pPr>
        <w:pStyle w:val="Heading1"/>
        <w:keepNext/>
      </w:pPr>
      <w:r>
        <w:rPr>
          <w:rFonts w:ascii="Calibri" w:hAnsi="Calibri"/>
          <w:b/>
          <w:color w:val="2E74B5"/>
          <w:sz w:val="32"/>
        </w:rPr>
        <w:t>Hard-cut show rundown</w:t>
      </w:r>
    </w:p>
    <w:tbl>
      <w:tblPr>
        <w:tblStyle w:val="TableGrid"/>
        <w:tblW w:type="dxa" w:w="9360"/>
        <w:jc w:val="left"/>
        <w:tblLayout w:type="fixed"/>
        <w:tblLook w:firstColumn="1" w:firstRow="1" w:lastColumn="0" w:lastRow="0" w:noHBand="0" w:noVBand="1" w:val="04A0"/>
        <w:tblInd w:type="dxa" w:w="120"/>
      </w:tblPr>
      <w:tblGrid>
        <w:gridCol w:w="1300"/>
        <w:gridCol w:w="2600"/>
        <w:gridCol w:w="5460"/>
      </w:tblGrid>
      <w:tr>
        <w:trPr>
          <w:cantSplit/>
          <w:trHeight w:hRule="auto"/>
          <w:tblHeader w:val="true"/>
        </w:trPr>
        <w:tc>
          <w:tcPr>
            <w:tcW w:type="dxa" w:w="13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Time</w:t>
            </w:r>
          </w:p>
        </w:tc>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Segment</w:t>
            </w:r>
          </w:p>
        </w:tc>
        <w:tc>
          <w:tcPr>
            <w:tcW w:type="dxa" w:w="5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What the audience must leave with</w:t>
            </w:r>
          </w:p>
        </w:tc>
      </w:tr>
      <w:tr>
        <w:trPr>
          <w:cantSplit/>
        </w:trPr>
        <w:tc>
          <w:tcPr>
            <w:tcW w:type="dxa" w:w="1300"/>
            <w:vAlign w:val="center"/>
            <w:shd w:fill="F4F7FA"/>
          </w:tcPr>
          <w:p>
            <w:r/>
            <w:r>
              <w:rPr>
                <w:rFonts w:ascii="Aptos" w:hAnsi="Aptos"/>
                <w:sz w:val="17"/>
              </w:rPr>
              <w:t>0:00-0:05</w:t>
            </w:r>
          </w:p>
        </w:tc>
        <w:tc>
          <w:tcPr>
            <w:tcW w:type="dxa" w:w="2600"/>
            <w:vAlign w:val="center"/>
            <w:shd w:fill="F4F7FA"/>
          </w:tcPr>
          <w:p>
            <w:r/>
            <w:r>
              <w:rPr>
                <w:rFonts w:ascii="Aptos" w:hAnsi="Aptos"/>
                <w:sz w:val="17"/>
              </w:rPr>
              <w:t>Cold open</w:t>
            </w:r>
          </w:p>
        </w:tc>
        <w:tc>
          <w:tcPr>
            <w:tcW w:type="dxa" w:w="5460"/>
            <w:vAlign w:val="center"/>
            <w:shd w:fill="F4F7FA"/>
          </w:tcPr>
          <w:p>
            <w:r/>
            <w:r>
              <w:rPr>
                <w:rFonts w:ascii="Aptos" w:hAnsi="Aptos"/>
                <w:sz w:val="17"/>
              </w:rPr>
              <w:t>AMC's own filing rejects a fundamental-only rewrite of June.</w:t>
            </w:r>
          </w:p>
        </w:tc>
      </w:tr>
      <w:tr>
        <w:trPr>
          <w:cantSplit/>
        </w:trPr>
        <w:tc>
          <w:tcPr>
            <w:tcW w:type="dxa" w:w="1300"/>
            <w:vAlign w:val="center"/>
            <w:shd w:fill="FFFFFF"/>
          </w:tcPr>
          <w:p>
            <w:r/>
            <w:r>
              <w:rPr>
                <w:rFonts w:ascii="Aptos" w:hAnsi="Aptos"/>
                <w:sz w:val="17"/>
              </w:rPr>
              <w:t>0:05-0:15</w:t>
            </w:r>
          </w:p>
        </w:tc>
        <w:tc>
          <w:tcPr>
            <w:tcW w:type="dxa" w:w="2600"/>
            <w:vAlign w:val="center"/>
            <w:shd w:fill="FFFFFF"/>
          </w:tcPr>
          <w:p>
            <w:r/>
            <w:r>
              <w:rPr>
                <w:rFonts w:ascii="Aptos" w:hAnsi="Aptos"/>
                <w:sz w:val="17"/>
              </w:rPr>
              <w:t>Rules of evidence</w:t>
            </w:r>
          </w:p>
        </w:tc>
        <w:tc>
          <w:tcPr>
            <w:tcW w:type="dxa" w:w="5460"/>
            <w:vAlign w:val="center"/>
            <w:shd w:fill="FFFFFF"/>
          </w:tcPr>
          <w:p>
            <w:r/>
            <w:r>
              <w:rPr>
                <w:rFonts w:ascii="Aptos" w:hAnsi="Aptos"/>
                <w:sz w:val="17"/>
              </w:rPr>
              <w:t>Fact, inference, hypothesis, and allegation will not be blended.</w:t>
            </w:r>
          </w:p>
        </w:tc>
      </w:tr>
      <w:tr>
        <w:trPr>
          <w:cantSplit/>
        </w:trPr>
        <w:tc>
          <w:tcPr>
            <w:tcW w:type="dxa" w:w="1300"/>
            <w:vAlign w:val="center"/>
            <w:shd w:fill="F4F7FA"/>
          </w:tcPr>
          <w:p>
            <w:r/>
            <w:r>
              <w:rPr>
                <w:rFonts w:ascii="Aptos" w:hAnsi="Aptos"/>
                <w:sz w:val="17"/>
              </w:rPr>
              <w:t>0:15-0:30</w:t>
            </w:r>
          </w:p>
        </w:tc>
        <w:tc>
          <w:tcPr>
            <w:tcW w:type="dxa" w:w="2600"/>
            <w:vAlign w:val="center"/>
            <w:shd w:fill="F4F7FA"/>
          </w:tcPr>
          <w:p>
            <w:r/>
            <w:r>
              <w:rPr>
                <w:rFonts w:ascii="Aptos" w:hAnsi="Aptos"/>
                <w:sz w:val="17"/>
              </w:rPr>
              <w:t>January precedent</w:t>
            </w:r>
          </w:p>
        </w:tc>
        <w:tc>
          <w:tcPr>
            <w:tcW w:type="dxa" w:w="5460"/>
            <w:vAlign w:val="center"/>
            <w:shd w:fill="F4F7FA"/>
          </w:tcPr>
          <w:p>
            <w:r/>
            <w:r>
              <w:rPr>
                <w:rFonts w:ascii="Aptos" w:hAnsi="Aptos"/>
                <w:sz w:val="17"/>
              </w:rPr>
              <w:t>AMC had already created documented clearing and collateral stress.</w:t>
            </w:r>
          </w:p>
        </w:tc>
      </w:tr>
      <w:tr>
        <w:trPr>
          <w:cantSplit/>
        </w:trPr>
        <w:tc>
          <w:tcPr>
            <w:tcW w:type="dxa" w:w="1300"/>
            <w:vAlign w:val="center"/>
            <w:shd w:fill="FFFFFF"/>
          </w:tcPr>
          <w:p>
            <w:r/>
            <w:r>
              <w:rPr>
                <w:rFonts w:ascii="Aptos" w:hAnsi="Aptos"/>
                <w:sz w:val="17"/>
              </w:rPr>
              <w:t>0:30-0:55</w:t>
            </w:r>
          </w:p>
        </w:tc>
        <w:tc>
          <w:tcPr>
            <w:tcW w:type="dxa" w:w="2600"/>
            <w:vAlign w:val="center"/>
            <w:shd w:fill="FFFFFF"/>
          </w:tcPr>
          <w:p>
            <w:r/>
            <w:r>
              <w:rPr>
                <w:rFonts w:ascii="Aptos" w:hAnsi="Aptos"/>
                <w:sz w:val="17"/>
              </w:rPr>
              <w:t>June options and Mudrick</w:t>
            </w:r>
          </w:p>
        </w:tc>
        <w:tc>
          <w:tcPr>
            <w:tcW w:type="dxa" w:w="5460"/>
            <w:vAlign w:val="center"/>
            <w:shd w:fill="FFFFFF"/>
          </w:tcPr>
          <w:p>
            <w:r/>
            <w:r>
              <w:rPr>
                <w:rFonts w:ascii="Aptos" w:hAnsi="Aptos"/>
                <w:sz w:val="17"/>
              </w:rPr>
              <w:t>Explain the 4.6 million-contract scale, dealer hedging, and the closest named short-call receipt.</w:t>
            </w:r>
          </w:p>
        </w:tc>
      </w:tr>
      <w:tr>
        <w:trPr>
          <w:cantSplit/>
        </w:trPr>
        <w:tc>
          <w:tcPr>
            <w:tcW w:type="dxa" w:w="1300"/>
            <w:vAlign w:val="center"/>
            <w:shd w:fill="F4F7FA"/>
          </w:tcPr>
          <w:p>
            <w:r/>
            <w:r>
              <w:rPr>
                <w:rFonts w:ascii="Aptos" w:hAnsi="Aptos"/>
                <w:sz w:val="17"/>
              </w:rPr>
              <w:t>0:55-1:15</w:t>
            </w:r>
          </w:p>
        </w:tc>
        <w:tc>
          <w:tcPr>
            <w:tcW w:type="dxa" w:w="2600"/>
            <w:vAlign w:val="center"/>
            <w:shd w:fill="F4F7FA"/>
          </w:tcPr>
          <w:p>
            <w:r/>
            <w:r>
              <w:rPr>
                <w:rFonts w:ascii="Aptos" w:hAnsi="Aptos"/>
                <w:sz w:val="17"/>
              </w:rPr>
              <w:t>The 42-day ledger</w:t>
            </w:r>
          </w:p>
        </w:tc>
        <w:tc>
          <w:tcPr>
            <w:tcW w:type="dxa" w:w="5460"/>
            <w:vAlign w:val="center"/>
            <w:shd w:fill="F4F7FA"/>
          </w:tcPr>
          <w:p>
            <w:r/>
            <w:r>
              <w:rPr>
                <w:rFonts w:ascii="Aptos" w:hAnsi="Aptos"/>
                <w:sz w:val="17"/>
              </w:rPr>
              <w:t>Separate the early FTD episode from the later threshold-list cluster.</w:t>
            </w:r>
          </w:p>
        </w:tc>
      </w:tr>
      <w:tr>
        <w:trPr>
          <w:cantSplit/>
        </w:trPr>
        <w:tc>
          <w:tcPr>
            <w:tcW w:type="dxa" w:w="1300"/>
            <w:vAlign w:val="center"/>
            <w:shd w:fill="FFFFFF"/>
          </w:tcPr>
          <w:p>
            <w:r/>
            <w:r>
              <w:rPr>
                <w:rFonts w:ascii="Aptos" w:hAnsi="Aptos"/>
                <w:sz w:val="17"/>
              </w:rPr>
              <w:t>1:15-1:30</w:t>
            </w:r>
          </w:p>
        </w:tc>
        <w:tc>
          <w:tcPr>
            <w:tcW w:type="dxa" w:w="2600"/>
            <w:vAlign w:val="center"/>
            <w:shd w:fill="FFFFFF"/>
          </w:tcPr>
          <w:p>
            <w:r/>
            <w:r>
              <w:rPr>
                <w:rFonts w:ascii="Aptos" w:hAnsi="Aptos"/>
                <w:sz w:val="17"/>
              </w:rPr>
              <w:t>Intraday tape</w:t>
            </w:r>
          </w:p>
        </w:tc>
        <w:tc>
          <w:tcPr>
            <w:tcW w:type="dxa" w:w="5460"/>
            <w:vAlign w:val="center"/>
            <w:shd w:fill="FFFFFF"/>
          </w:tcPr>
          <w:p>
            <w:r/>
            <w:r>
              <w:rPr>
                <w:rFonts w:ascii="Aptos" w:hAnsi="Aptos"/>
                <w:sz w:val="17"/>
              </w:rPr>
              <w:t>Separate a legitimate absorption observation from unsupported manipulation claims.</w:t>
            </w:r>
          </w:p>
        </w:tc>
      </w:tr>
      <w:tr>
        <w:trPr>
          <w:cantSplit/>
        </w:trPr>
        <w:tc>
          <w:tcPr>
            <w:tcW w:type="dxa" w:w="1300"/>
            <w:vAlign w:val="center"/>
            <w:shd w:fill="F4F7FA"/>
          </w:tcPr>
          <w:p>
            <w:r/>
            <w:r>
              <w:rPr>
                <w:rFonts w:ascii="Aptos" w:hAnsi="Aptos"/>
                <w:sz w:val="17"/>
              </w:rPr>
              <w:t>1:30-1:45</w:t>
            </w:r>
          </w:p>
        </w:tc>
        <w:tc>
          <w:tcPr>
            <w:tcW w:type="dxa" w:w="2600"/>
            <w:vAlign w:val="center"/>
            <w:shd w:fill="F4F7FA"/>
          </w:tcPr>
          <w:p>
            <w:r/>
            <w:r>
              <w:rPr>
                <w:rFonts w:ascii="Aptos" w:hAnsi="Aptos"/>
                <w:sz w:val="17"/>
              </w:rPr>
              <w:t>Institutions and BlackRock</w:t>
            </w:r>
          </w:p>
        </w:tc>
        <w:tc>
          <w:tcPr>
            <w:tcW w:type="dxa" w:w="5460"/>
            <w:vAlign w:val="center"/>
            <w:shd w:fill="F4F7FA"/>
          </w:tcPr>
          <w:p>
            <w:r/>
            <w:r>
              <w:rPr>
                <w:rFonts w:ascii="Aptos" w:hAnsi="Aptos"/>
                <w:sz w:val="17"/>
              </w:rPr>
              <w:t>Show disclosed exposure and why long-only filings cannot reveal a dealer book.</w:t>
            </w:r>
          </w:p>
        </w:tc>
      </w:tr>
      <w:tr>
        <w:trPr>
          <w:cantSplit/>
        </w:trPr>
        <w:tc>
          <w:tcPr>
            <w:tcW w:type="dxa" w:w="1300"/>
            <w:vAlign w:val="center"/>
            <w:shd w:fill="FFFFFF"/>
          </w:tcPr>
          <w:p>
            <w:r/>
            <w:r>
              <w:rPr>
                <w:rFonts w:ascii="Aptos" w:hAnsi="Aptos"/>
                <w:sz w:val="17"/>
              </w:rPr>
              <w:t>1:45-1:58</w:t>
            </w:r>
          </w:p>
        </w:tc>
        <w:tc>
          <w:tcPr>
            <w:tcW w:type="dxa" w:w="2600"/>
            <w:vAlign w:val="center"/>
            <w:shd w:fill="FFFFFF"/>
          </w:tcPr>
          <w:p>
            <w:r/>
            <w:r>
              <w:rPr>
                <w:rFonts w:ascii="Aptos" w:hAnsi="Aptos"/>
                <w:sz w:val="17"/>
              </w:rPr>
              <w:t>The anti-options narrative</w:t>
            </w:r>
          </w:p>
        </w:tc>
        <w:tc>
          <w:tcPr>
            <w:tcW w:type="dxa" w:w="5460"/>
            <w:vAlign w:val="center"/>
            <w:shd w:fill="FFFFFF"/>
          </w:tcPr>
          <w:p>
            <w:r/>
            <w:r>
              <w:rPr>
                <w:rFonts w:ascii="Aptos" w:hAnsi="Aptos"/>
                <w:sz w:val="17"/>
              </w:rPr>
              <w:t>Show the message existed, its possible consequence, and what cannot be measured publicly.</w:t>
            </w:r>
          </w:p>
        </w:tc>
      </w:tr>
      <w:tr>
        <w:trPr>
          <w:cantSplit/>
        </w:trPr>
        <w:tc>
          <w:tcPr>
            <w:tcW w:type="dxa" w:w="1300"/>
            <w:vAlign w:val="center"/>
            <w:shd w:fill="F4F7FA"/>
          </w:tcPr>
          <w:p>
            <w:r/>
            <w:r>
              <w:rPr>
                <w:rFonts w:ascii="Aptos" w:hAnsi="Aptos"/>
                <w:sz w:val="17"/>
              </w:rPr>
              <w:t>1:58-2:10</w:t>
            </w:r>
          </w:p>
        </w:tc>
        <w:tc>
          <w:tcPr>
            <w:tcW w:type="dxa" w:w="2600"/>
            <w:vAlign w:val="center"/>
            <w:shd w:fill="F4F7FA"/>
          </w:tcPr>
          <w:p>
            <w:r/>
            <w:r>
              <w:rPr>
                <w:rFonts w:ascii="Aptos" w:hAnsi="Aptos"/>
                <w:sz w:val="17"/>
              </w:rPr>
              <w:t>OCC and the CAT hole</w:t>
            </w:r>
          </w:p>
        </w:tc>
        <w:tc>
          <w:tcPr>
            <w:tcW w:type="dxa" w:w="5460"/>
            <w:vAlign w:val="center"/>
            <w:shd w:fill="F4F7FA"/>
          </w:tcPr>
          <w:p>
            <w:r/>
            <w:r>
              <w:rPr>
                <w:rFonts w:ascii="Aptos" w:hAnsi="Aptos"/>
                <w:sz w:val="17"/>
              </w:rPr>
              <w:t>The intraday-risk gap is documented; June options were not yet reportable to CAT.</w:t>
            </w:r>
          </w:p>
        </w:tc>
      </w:tr>
      <w:tr>
        <w:trPr>
          <w:cantSplit/>
        </w:trPr>
        <w:tc>
          <w:tcPr>
            <w:tcW w:type="dxa" w:w="1300"/>
            <w:vAlign w:val="center"/>
            <w:shd w:fill="FFFFFF"/>
          </w:tcPr>
          <w:p>
            <w:r/>
            <w:r>
              <w:rPr>
                <w:rFonts w:ascii="Aptos" w:hAnsi="Aptos"/>
                <w:sz w:val="17"/>
              </w:rPr>
              <w:t>2:10-2:20</w:t>
            </w:r>
          </w:p>
        </w:tc>
        <w:tc>
          <w:tcPr>
            <w:tcW w:type="dxa" w:w="2600"/>
            <w:vAlign w:val="center"/>
            <w:shd w:fill="FFFFFF"/>
          </w:tcPr>
          <w:p>
            <w:r/>
            <w:r>
              <w:rPr>
                <w:rFonts w:ascii="Aptos" w:hAnsi="Aptos"/>
                <w:sz w:val="17"/>
              </w:rPr>
              <w:t>DTCC's hidden ledger</w:t>
            </w:r>
          </w:p>
        </w:tc>
        <w:tc>
          <w:tcPr>
            <w:tcW w:type="dxa" w:w="5460"/>
            <w:vAlign w:val="center"/>
            <w:shd w:fill="FFFFFF"/>
          </w:tcPr>
          <w:p>
            <w:r/>
            <w:r>
              <w:rPr>
                <w:rFonts w:ascii="Aptos" w:hAnsi="Aptos"/>
                <w:sz w:val="17"/>
              </w:rPr>
              <w:t>The portals prove detailed settlement records exist behind client access controls.</w:t>
            </w:r>
          </w:p>
        </w:tc>
      </w:tr>
      <w:tr>
        <w:trPr>
          <w:cantSplit/>
        </w:trPr>
        <w:tc>
          <w:tcPr>
            <w:tcW w:type="dxa" w:w="1300"/>
            <w:vAlign w:val="center"/>
            <w:shd w:fill="F4F7FA"/>
          </w:tcPr>
          <w:p>
            <w:r/>
            <w:r>
              <w:rPr>
                <w:rFonts w:ascii="Aptos" w:hAnsi="Aptos"/>
                <w:sz w:val="17"/>
              </w:rPr>
              <w:t>2:20-2:27</w:t>
            </w:r>
          </w:p>
        </w:tc>
        <w:tc>
          <w:tcPr>
            <w:tcW w:type="dxa" w:w="2600"/>
            <w:vAlign w:val="center"/>
            <w:shd w:fill="F4F7FA"/>
          </w:tcPr>
          <w:p>
            <w:r/>
            <w:r>
              <w:rPr>
                <w:rFonts w:ascii="Aptos" w:hAnsi="Aptos"/>
                <w:sz w:val="17"/>
              </w:rPr>
              <w:t>Smoking-gun scoreboard</w:t>
            </w:r>
          </w:p>
        </w:tc>
        <w:tc>
          <w:tcPr>
            <w:tcW w:type="dxa" w:w="5460"/>
            <w:vAlign w:val="center"/>
            <w:shd w:fill="F4F7FA"/>
          </w:tcPr>
          <w:p>
            <w:r/>
            <w:r>
              <w:rPr>
                <w:rFonts w:ascii="Aptos" w:hAnsi="Aptos"/>
                <w:sz w:val="17"/>
              </w:rPr>
              <w:t>State exactly what is proved, corroborated, contradicted, and still hidden.</w:t>
            </w:r>
          </w:p>
        </w:tc>
      </w:tr>
      <w:tr>
        <w:trPr>
          <w:cantSplit/>
        </w:trPr>
        <w:tc>
          <w:tcPr>
            <w:tcW w:type="dxa" w:w="1300"/>
            <w:vAlign w:val="center"/>
            <w:shd w:fill="FFFFFF"/>
          </w:tcPr>
          <w:p>
            <w:r/>
            <w:r>
              <w:rPr>
                <w:rFonts w:ascii="Aptos" w:hAnsi="Aptos"/>
                <w:sz w:val="17"/>
              </w:rPr>
              <w:t>2:27-2:30</w:t>
            </w:r>
          </w:p>
        </w:tc>
        <w:tc>
          <w:tcPr>
            <w:tcW w:type="dxa" w:w="2600"/>
            <w:vAlign w:val="center"/>
            <w:shd w:fill="FFFFFF"/>
          </w:tcPr>
          <w:p>
            <w:r/>
            <w:r>
              <w:rPr>
                <w:rFonts w:ascii="Aptos" w:hAnsi="Aptos"/>
                <w:sz w:val="17"/>
              </w:rPr>
              <w:t>Final word / buffer</w:t>
            </w:r>
          </w:p>
        </w:tc>
        <w:tc>
          <w:tcPr>
            <w:tcW w:type="dxa" w:w="5460"/>
            <w:vAlign w:val="center"/>
            <w:shd w:fill="FFFFFF"/>
          </w:tcPr>
          <w:p>
            <w:r/>
            <w:r>
              <w:rPr>
                <w:rFonts w:ascii="Aptos" w:hAnsi="Aptos"/>
                <w:sz w:val="17"/>
              </w:rPr>
              <w:t>This is evidence versus narrative, not shares versus options.</w:t>
            </w:r>
          </w:p>
        </w:tc>
      </w:tr>
    </w:tbl>
    <w:p>
      <w:pPr>
        <w:spacing w:before="0" w:after="40" w:line="240" w:lineRule="auto"/>
      </w:pPr>
    </w:p>
    <w:p>
      <w:pPr>
        <w:pStyle w:val="Heading1"/>
        <w:keepNext/>
      </w:pPr>
      <w:r>
        <w:rPr>
          <w:rFonts w:ascii="Calibri" w:hAnsi="Calibri"/>
          <w:b/>
          <w:color w:val="2E74B5"/>
          <w:sz w:val="32"/>
        </w:rPr>
        <w:t>1. AMC's filing ends the fundamental-only argument</w:t>
      </w:r>
    </w:p>
    <w:p>
      <w:pPr/>
      <w:r>
        <w:rPr>
          <w:rFonts w:ascii="Calibri" w:hAnsi="Calibri"/>
          <w:color w:val="111111"/>
          <w:sz w:val="22"/>
        </w:rPr>
        <w:t>AMC's June 3, 2021 prospectus recorded the June 2 high of $72.62, the $62.55 close, and daily volume that had reached approximately 1.253 billion shares. It also said AMC had made no disclosure of a material business change during the seven-business-day move from $12.18 to $72.62 other than additional financing.</w:t>
      </w:r>
    </w:p>
    <w:p>
      <w:pPr/>
      <w:r>
        <w:rPr>
          <w:rFonts w:ascii="Calibri" w:hAnsi="Calibri"/>
          <w:color w:val="111111"/>
          <w:sz w:val="22"/>
        </w:rPr>
        <w:t>Most importantly, AMC wrote that it believed the volatility and market prices reflected dynamics unrelated to its underlying business or macro and industry fundamentals. AMC's own risk discussion named:</w:t>
      </w:r>
    </w:p>
    <w:p>
      <w:pPr>
        <w:pStyle w:val="AMCBullet"/>
        <w:numPr>
          <w:ilvl w:val="0"/>
          <w:numId w:val="10"/>
        </w:numPr>
      </w:pPr>
      <w:r>
        <w:rPr>
          <w:rFonts w:ascii="Calibri" w:hAnsi="Calibri"/>
          <w:color w:val="111111"/>
          <w:sz w:val="22"/>
        </w:rPr>
        <w:t>retail sentiment expressed through social media and online forums;</w:t>
      </w:r>
    </w:p>
    <w:p>
      <w:pPr>
        <w:pStyle w:val="AMCBullet"/>
        <w:numPr>
          <w:ilvl w:val="0"/>
          <w:numId w:val="10"/>
        </w:numPr>
      </w:pPr>
      <w:r>
        <w:rPr>
          <w:rFonts w:ascii="Calibri" w:hAnsi="Calibri"/>
          <w:color w:val="111111"/>
          <w:sz w:val="22"/>
        </w:rPr>
        <w:t>the amount of short interest in AMC;</w:t>
      </w:r>
    </w:p>
    <w:p>
      <w:pPr>
        <w:pStyle w:val="AMCBullet"/>
        <w:numPr>
          <w:ilvl w:val="0"/>
          <w:numId w:val="10"/>
        </w:numPr>
      </w:pPr>
      <w:r>
        <w:rPr>
          <w:rFonts w:ascii="Calibri" w:hAnsi="Calibri"/>
          <w:color w:val="111111"/>
          <w:sz w:val="22"/>
        </w:rPr>
        <w:t>access to margin debt;</w:t>
      </w:r>
    </w:p>
    <w:p>
      <w:pPr>
        <w:pStyle w:val="AMCBullet"/>
        <w:numPr>
          <w:ilvl w:val="0"/>
          <w:numId w:val="10"/>
        </w:numPr>
      </w:pPr>
      <w:r>
        <w:rPr>
          <w:rFonts w:ascii="Calibri" w:hAnsi="Calibri"/>
          <w:color w:val="111111"/>
          <w:sz w:val="22"/>
        </w:rPr>
        <w:t>trading in options and other derivatives; and</w:t>
      </w:r>
    </w:p>
    <w:p>
      <w:pPr>
        <w:pStyle w:val="AMCBullet"/>
        <w:numPr>
          <w:ilvl w:val="0"/>
          <w:numId w:val="10"/>
        </w:numPr>
      </w:pPr>
      <w:r>
        <w:rPr>
          <w:rFonts w:ascii="Calibri" w:hAnsi="Calibri"/>
          <w:color w:val="111111"/>
          <w:sz w:val="22"/>
        </w:rPr>
        <w:t>related hedging and other trading factors.</w:t>
      </w:r>
    </w:p>
    <w:p>
      <w:pPr/>
      <w:r>
        <w:rPr>
          <w:rFonts w:ascii="Calibri" w:hAnsi="Calibri"/>
          <w:color w:val="111111"/>
          <w:sz w:val="22"/>
        </w:rPr>
        <w:t>This does not mean fundamentals were irrelevant. AMC's survival, reopening, liquidity, debt, dilution, and box-office recovery mattered. It means a fundamental-only explanation is contradicted by the company that issued the stock.</w:t>
      </w:r>
    </w:p>
    <w:p>
      <w:pPr/>
      <w:r>
        <w:rPr>
          <w:rFonts w:ascii="Calibri" w:hAnsi="Calibri"/>
          <w:color w:val="111111"/>
          <w:sz w:val="22"/>
        </w:rPr>
        <w:t>The clean formulation is:</w:t>
      </w:r>
    </w:p>
    <w:p>
      <w:pPr>
        <w:pStyle w:val="Callout"/>
        <w:shd w:fill="F4F6F9"/>
        <w:keepLines/>
        <w:pBdr>
          <w:left w:val="single" w:sz="18" w:space="8" w:color="2E74B5"/>
        </w:pBdr>
      </w:pPr>
      <w:r>
        <w:rPr>
          <w:rFonts w:ascii="Calibri" w:hAnsi="Calibri"/>
          <w:b/>
          <w:color w:val="0B2545"/>
          <w:sz w:val="22"/>
        </w:rPr>
        <w:t>Fundamentals helped determine whether AMC could survive. Market structure helped determine how its securities traded. June 2 cannot honestly be explained by discussing only one side of that sentence.</w:t>
      </w:r>
    </w:p>
    <w:p>
      <w:pPr>
        <w:pStyle w:val="Source"/>
        <w:keepLines/>
      </w:pPr>
      <w:r>
        <w:rPr>
          <w:rFonts w:ascii="Calibri" w:hAnsi="Calibri"/>
          <w:b/>
          <w:color w:val="626A73"/>
          <w:sz w:val="18"/>
        </w:rPr>
        <w:t>Key sources:</w:t>
      </w:r>
      <w:r>
        <w:rPr>
          <w:rFonts w:ascii="Calibri" w:hAnsi="Calibri"/>
          <w:color w:val="626A73"/>
          <w:sz w:val="18"/>
        </w:rPr>
        <w:t xml:space="preserve"> </w:t>
      </w:r>
      <w:hyperlink r:id="rId13">
        <w:r>
          <w:rPr>
            <w:rFonts w:ascii="Calibri" w:hAnsi="Calibri"/>
            <w:color w:val="2E74B5"/>
            <w:u w:val="single"/>
            <w:sz w:val="18"/>
            <w:szCs w:val="18"/>
          </w:rPr>
          <w:t>AMC June 3, 2021 prospectus</w:t>
        </w:r>
      </w:hyperlink>
      <w:r>
        <w:rPr>
          <w:rFonts w:ascii="Calibri" w:hAnsi="Calibri"/>
          <w:color w:val="626A73"/>
          <w:sz w:val="18"/>
        </w:rPr>
        <w:t xml:space="preserve">; </w:t>
      </w:r>
      <w:hyperlink r:id="rId14">
        <w:r>
          <w:rPr>
            <w:rFonts w:ascii="Calibri" w:hAnsi="Calibri"/>
            <w:color w:val="2E74B5"/>
            <w:u w:val="single"/>
            <w:sz w:val="18"/>
            <w:szCs w:val="18"/>
          </w:rPr>
          <w:t>Reuters report on the June 2 run</w:t>
        </w:r>
      </w:hyperlink>
      <w:r>
        <w:rPr>
          <w:rFonts w:ascii="Calibri" w:hAnsi="Calibri"/>
          <w:color w:val="626A73"/>
          <w:sz w:val="18"/>
        </w:rPr>
        <w:t>.</w:t>
      </w:r>
    </w:p>
    <w:p>
      <w:pPr>
        <w:pStyle w:val="Heading1"/>
        <w:keepNext/>
      </w:pPr>
      <w:r>
        <w:rPr>
          <w:rFonts w:ascii="Calibri" w:hAnsi="Calibri"/>
          <w:b/>
          <w:color w:val="2E74B5"/>
          <w:sz w:val="32"/>
        </w:rPr>
        <w:t>2. The 4.6 million-contract event</w:t>
      </w:r>
    </w:p>
    <w:p>
      <w:pPr/>
      <w:r>
        <w:rPr>
          <w:rFonts w:ascii="Calibri" w:hAnsi="Calibri"/>
          <w:color w:val="111111"/>
          <w:sz w:val="22"/>
        </w:rPr>
        <w:t>Reuters reported that AMC was the most heavily traded options name on June 2, with 4.6 million contracts changing hands. Barron's reported the split as approximately 2.8 million calls and 1.8 million puts.</w:t>
      </w:r>
    </w:p>
    <w:p>
      <w:pPr/>
      <w:r>
        <w:rPr>
          <w:rFonts w:ascii="Calibri" w:hAnsi="Calibri"/>
          <w:color w:val="111111"/>
          <w:sz w:val="22"/>
        </w:rPr>
        <w:t>That number must be explained carefully.</w:t>
      </w:r>
    </w:p>
    <w:p>
      <w:pPr/>
      <w:r>
        <w:rPr>
          <w:rFonts w:ascii="Calibri" w:hAnsi="Calibri"/>
          <w:color w:val="111111"/>
          <w:sz w:val="22"/>
        </w:rPr>
        <w:t>One standard equity-option contract normally controls 100 shares. Multiplying 4.6 million by 100 produces 460 million share-equivalents, a figure close to AMC's then-outstanding share count. But options volume is turnover, not a stock-delivery count. The same contract can change hands more than once. Volume includes opening and closing trades, buys and sells, spreads, complex orders, market-maker transactions, and positions that expire or are closed without exercise.</w:t>
      </w:r>
    </w:p>
    <w:p>
      <w:pPr/>
      <w:r>
        <w:rPr>
          <w:rFonts w:ascii="Calibri" w:hAnsi="Calibri"/>
          <w:color w:val="111111"/>
          <w:sz w:val="22"/>
        </w:rPr>
        <w:t>Therefore:</w:t>
      </w:r>
    </w:p>
    <w:p>
      <w:pPr>
        <w:pStyle w:val="AMCBullet"/>
        <w:numPr>
          <w:ilvl w:val="0"/>
          <w:numId w:val="11"/>
        </w:numPr>
      </w:pPr>
      <w:r>
        <w:rPr>
          <w:rFonts w:ascii="Calibri" w:hAnsi="Calibri"/>
          <w:color w:val="111111"/>
          <w:sz w:val="22"/>
        </w:rPr>
        <w:t xml:space="preserve">4.6 million contracts do </w:t>
      </w:r>
      <w:r>
        <w:rPr>
          <w:rFonts w:ascii="Calibri" w:hAnsi="Calibri"/>
          <w:b/>
          <w:color w:val="111111"/>
          <w:sz w:val="22"/>
        </w:rPr>
        <w:t>not</w:t>
      </w:r>
      <w:r>
        <w:rPr>
          <w:rFonts w:ascii="Calibri" w:hAnsi="Calibri"/>
          <w:color w:val="111111"/>
          <w:sz w:val="22"/>
        </w:rPr>
        <w:t xml:space="preserve"> mean 460 million shares were bought;</w:t>
      </w:r>
    </w:p>
    <w:p>
      <w:pPr>
        <w:pStyle w:val="AMCBullet"/>
        <w:numPr>
          <w:ilvl w:val="0"/>
          <w:numId w:val="11"/>
        </w:numPr>
      </w:pPr>
      <w:r>
        <w:rPr>
          <w:rFonts w:ascii="Calibri" w:hAnsi="Calibri"/>
          <w:color w:val="111111"/>
          <w:sz w:val="22"/>
        </w:rPr>
        <w:t xml:space="preserve">2.8 million calls do </w:t>
      </w:r>
      <w:r>
        <w:rPr>
          <w:rFonts w:ascii="Calibri" w:hAnsi="Calibri"/>
          <w:b/>
          <w:color w:val="111111"/>
          <w:sz w:val="22"/>
        </w:rPr>
        <w:t>not</w:t>
      </w:r>
      <w:r>
        <w:rPr>
          <w:rFonts w:ascii="Calibri" w:hAnsi="Calibri"/>
          <w:color w:val="111111"/>
          <w:sz w:val="22"/>
        </w:rPr>
        <w:t xml:space="preserve"> mean every call was purchased by a bullish customer;</w:t>
      </w:r>
    </w:p>
    <w:p>
      <w:pPr>
        <w:pStyle w:val="AMCBullet"/>
        <w:numPr>
          <w:ilvl w:val="0"/>
          <w:numId w:val="11"/>
        </w:numPr>
      </w:pPr>
      <w:r>
        <w:rPr>
          <w:rFonts w:ascii="Calibri" w:hAnsi="Calibri"/>
          <w:color w:val="111111"/>
          <w:sz w:val="22"/>
        </w:rPr>
        <w:t xml:space="preserve">options volume alone does </w:t>
      </w:r>
      <w:r>
        <w:rPr>
          <w:rFonts w:ascii="Calibri" w:hAnsi="Calibri"/>
          <w:b/>
          <w:color w:val="111111"/>
          <w:sz w:val="22"/>
        </w:rPr>
        <w:t>not</w:t>
      </w:r>
      <w:r>
        <w:rPr>
          <w:rFonts w:ascii="Calibri" w:hAnsi="Calibri"/>
          <w:color w:val="111111"/>
          <w:sz w:val="22"/>
        </w:rPr>
        <w:t xml:space="preserve"> reveal whether dealers were net short or long calls;</w:t>
      </w:r>
    </w:p>
    <w:p>
      <w:pPr>
        <w:pStyle w:val="AMCBullet"/>
        <w:numPr>
          <w:ilvl w:val="0"/>
          <w:numId w:val="11"/>
        </w:numPr>
      </w:pPr>
      <w:r>
        <w:rPr>
          <w:rFonts w:ascii="Calibri" w:hAnsi="Calibri"/>
          <w:color w:val="111111"/>
          <w:sz w:val="22"/>
        </w:rPr>
        <w:t xml:space="preserve">options volume alone does </w:t>
      </w:r>
      <w:r>
        <w:rPr>
          <w:rFonts w:ascii="Calibri" w:hAnsi="Calibri"/>
          <w:b/>
          <w:color w:val="111111"/>
          <w:sz w:val="22"/>
        </w:rPr>
        <w:t>not</w:t>
      </w:r>
      <w:r>
        <w:rPr>
          <w:rFonts w:ascii="Calibri" w:hAnsi="Calibri"/>
          <w:color w:val="111111"/>
          <w:sz w:val="22"/>
        </w:rPr>
        <w:t xml:space="preserve"> reveal the net hedge demand; and</w:t>
      </w:r>
    </w:p>
    <w:p>
      <w:pPr>
        <w:pStyle w:val="AMCBullet"/>
        <w:numPr>
          <w:ilvl w:val="0"/>
          <w:numId w:val="11"/>
        </w:numPr>
      </w:pPr>
      <w:r>
        <w:rPr>
          <w:rFonts w:ascii="Calibri" w:hAnsi="Calibri"/>
          <w:color w:val="111111"/>
          <w:sz w:val="22"/>
        </w:rPr>
        <w:t>the number is still extraordinary evidence that the options market was central to the event.</w:t>
      </w:r>
    </w:p>
    <w:p>
      <w:pPr>
        <w:pStyle w:val="Heading2"/>
        <w:keepNext/>
      </w:pPr>
      <w:r>
        <w:rPr>
          <w:rFonts w:ascii="Calibri" w:hAnsi="Calibri"/>
          <w:b/>
          <w:color w:val="2E74B5"/>
          <w:sz w:val="26"/>
        </w:rPr>
        <w:t>How dealer hedging can become stock demand</w:t>
      </w:r>
    </w:p>
    <w:p>
      <w:pPr/>
      <w:r>
        <w:rPr>
          <w:rFonts w:ascii="Calibri" w:hAnsi="Calibri"/>
          <w:color w:val="111111"/>
          <w:sz w:val="22"/>
        </w:rPr>
        <w:t>The SEC's market-structure report describes the mechanism plainly. If customers buy calls and market makers write those calls, the market makers can purchase underlying stock to hedge their exposure. As price rises, call delta can increase, requiring additional stock purchases. Around concentrated strikes and short-dated expiration, gamma can make the required hedge change quickly.</w:t>
      </w:r>
    </w:p>
    <w:p>
      <w:pPr/>
      <w:r>
        <w:rPr>
          <w:rFonts w:ascii="Calibri" w:hAnsi="Calibri"/>
          <w:color w:val="111111"/>
          <w:sz w:val="22"/>
        </w:rPr>
        <w:t>A simplified positive-feedback path is:</w:t>
      </w:r>
    </w:p>
    <w:p>
      <w:pPr>
        <w:pStyle w:val="AMCNumber"/>
        <w:numPr>
          <w:ilvl w:val="0"/>
          <w:numId w:val="12"/>
        </w:numPr>
      </w:pPr>
      <w:r>
        <w:rPr>
          <w:rFonts w:ascii="Calibri" w:hAnsi="Calibri"/>
          <w:color w:val="111111"/>
          <w:sz w:val="22"/>
        </w:rPr>
        <w:t>Customers aggressively buy calls.</w:t>
      </w:r>
    </w:p>
    <w:p>
      <w:pPr>
        <w:pStyle w:val="AMCNumber"/>
        <w:numPr>
          <w:ilvl w:val="0"/>
          <w:numId w:val="12"/>
        </w:numPr>
      </w:pPr>
      <w:r>
        <w:rPr>
          <w:rFonts w:ascii="Calibri" w:hAnsi="Calibri"/>
          <w:color w:val="111111"/>
          <w:sz w:val="22"/>
        </w:rPr>
        <w:t>Dealers sell or write some of those calls.</w:t>
      </w:r>
    </w:p>
    <w:p>
      <w:pPr>
        <w:pStyle w:val="AMCNumber"/>
        <w:numPr>
          <w:ilvl w:val="0"/>
          <w:numId w:val="12"/>
        </w:numPr>
      </w:pPr>
      <w:r>
        <w:rPr>
          <w:rFonts w:ascii="Calibri" w:hAnsi="Calibri"/>
          <w:color w:val="111111"/>
          <w:sz w:val="22"/>
        </w:rPr>
        <w:t>Dealers purchase stock to reduce directional exposure.</w:t>
      </w:r>
    </w:p>
    <w:p>
      <w:pPr>
        <w:pStyle w:val="AMCNumber"/>
        <w:numPr>
          <w:ilvl w:val="0"/>
          <w:numId w:val="12"/>
        </w:numPr>
      </w:pPr>
      <w:r>
        <w:rPr>
          <w:rFonts w:ascii="Calibri" w:hAnsi="Calibri"/>
          <w:color w:val="111111"/>
          <w:sz w:val="22"/>
        </w:rPr>
        <w:t>The stock rises toward heavily populated strikes.</w:t>
      </w:r>
    </w:p>
    <w:p>
      <w:pPr>
        <w:pStyle w:val="AMCNumber"/>
        <w:numPr>
          <w:ilvl w:val="0"/>
          <w:numId w:val="12"/>
        </w:numPr>
      </w:pPr>
      <w:r>
        <w:rPr>
          <w:rFonts w:ascii="Calibri" w:hAnsi="Calibri"/>
          <w:color w:val="111111"/>
          <w:sz w:val="22"/>
        </w:rPr>
        <w:t>Call delta increases.</w:t>
      </w:r>
    </w:p>
    <w:p>
      <w:pPr>
        <w:pStyle w:val="AMCNumber"/>
        <w:numPr>
          <w:ilvl w:val="0"/>
          <w:numId w:val="12"/>
        </w:numPr>
      </w:pPr>
      <w:r>
        <w:rPr>
          <w:rFonts w:ascii="Calibri" w:hAnsi="Calibri"/>
          <w:color w:val="111111"/>
          <w:sz w:val="22"/>
        </w:rPr>
        <w:t>Dealers may purchase additional stock to rebalance.</w:t>
      </w:r>
    </w:p>
    <w:p>
      <w:pPr>
        <w:pStyle w:val="AMCNumber"/>
        <w:numPr>
          <w:ilvl w:val="0"/>
          <w:numId w:val="12"/>
        </w:numPr>
      </w:pPr>
      <w:r>
        <w:rPr>
          <w:rFonts w:ascii="Calibri" w:hAnsi="Calibri"/>
          <w:color w:val="111111"/>
          <w:sz w:val="22"/>
        </w:rPr>
        <w:t>Rising price attracts more stock and options demand.</w:t>
      </w:r>
    </w:p>
    <w:p>
      <w:pPr/>
      <w:r>
        <w:rPr>
          <w:rFonts w:ascii="Calibri" w:hAnsi="Calibri"/>
          <w:color w:val="111111"/>
          <w:sz w:val="22"/>
        </w:rPr>
        <w:t>The reverse can occur. If call demand fades, calls are sold to close, implied volatility falls, price moves away from strikes, or options expire, dealers may need less stock. Hedge reduction can remove demand or create selling pressure.</w:t>
      </w:r>
    </w:p>
    <w:p>
      <w:pPr/>
      <w:r>
        <w:rPr>
          <w:rFonts w:ascii="Calibri" w:hAnsi="Calibri"/>
          <w:color w:val="111111"/>
          <w:sz w:val="22"/>
        </w:rPr>
        <w:t>But the sign of the effect depends on the dealers' actual net book. If market makers were buying calls rather than writing them, or if puts and other positions offset the calls, the hedge direction could differ. The SEC used precisely that distinction when it analyzed GameStop and declined to call the January 2021 move a gamma squeeze.</w:t>
      </w:r>
    </w:p>
    <w:p>
      <w:pPr/>
      <w:r>
        <w:rPr>
          <w:rFonts w:ascii="Calibri" w:hAnsi="Calibri"/>
          <w:color w:val="111111"/>
          <w:sz w:val="22"/>
        </w:rPr>
        <w:t>The correct claim is not "4.6 million contracts prove a gamma squeeze." It is:</w:t>
      </w:r>
    </w:p>
    <w:p>
      <w:pPr>
        <w:pStyle w:val="Callout"/>
        <w:shd w:fill="F4F6F9"/>
        <w:keepLines/>
        <w:pBdr>
          <w:left w:val="single" w:sz="18" w:space="8" w:color="2E74B5"/>
        </w:pBdr>
      </w:pPr>
      <w:r>
        <w:rPr>
          <w:rFonts w:ascii="Calibri" w:hAnsi="Calibri"/>
          <w:b/>
          <w:color w:val="0B2545"/>
          <w:sz w:val="22"/>
        </w:rPr>
        <w:t>4.6 million contracts prove an options event large enough to require a dealer-hedge reconstruction. The records needed for that reconstruction are not public.</w:t>
      </w:r>
    </w:p>
    <w:p>
      <w:pPr>
        <w:pStyle w:val="Source"/>
        <w:keepLines/>
      </w:pPr>
      <w:r>
        <w:rPr>
          <w:rFonts w:ascii="Calibri" w:hAnsi="Calibri"/>
          <w:b/>
          <w:color w:val="626A73"/>
          <w:sz w:val="18"/>
        </w:rPr>
        <w:t>Key sources:</w:t>
      </w:r>
      <w:r>
        <w:rPr>
          <w:rFonts w:ascii="Calibri" w:hAnsi="Calibri"/>
          <w:color w:val="626A73"/>
          <w:sz w:val="18"/>
        </w:rPr>
        <w:t xml:space="preserve"> </w:t>
      </w:r>
      <w:hyperlink r:id="rId14">
        <w:r>
          <w:rPr>
            <w:rFonts w:ascii="Calibri" w:hAnsi="Calibri"/>
            <w:color w:val="2E74B5"/>
            <w:u w:val="single"/>
            <w:sz w:val="18"/>
            <w:szCs w:val="18"/>
          </w:rPr>
          <w:t>Reuters, 4.6 million AMC contracts on June 2</w:t>
        </w:r>
      </w:hyperlink>
      <w:r>
        <w:rPr>
          <w:rFonts w:ascii="Calibri" w:hAnsi="Calibri"/>
          <w:color w:val="626A73"/>
          <w:sz w:val="18"/>
        </w:rPr>
        <w:t xml:space="preserve">; </w:t>
      </w:r>
      <w:hyperlink r:id="rId15">
        <w:r>
          <w:rPr>
            <w:rFonts w:ascii="Calibri" w:hAnsi="Calibri"/>
            <w:color w:val="2E74B5"/>
            <w:u w:val="single"/>
            <w:sz w:val="18"/>
            <w:szCs w:val="18"/>
          </w:rPr>
          <w:t>Barron's call/put breakdown</w:t>
        </w:r>
      </w:hyperlink>
      <w:r>
        <w:rPr>
          <w:rFonts w:ascii="Calibri" w:hAnsi="Calibri"/>
          <w:color w:val="626A73"/>
          <w:sz w:val="18"/>
        </w:rPr>
        <w:t xml:space="preserve">; </w:t>
      </w:r>
      <w:hyperlink r:id="rId16">
        <w:r>
          <w:rPr>
            <w:rFonts w:ascii="Calibri" w:hAnsi="Calibri"/>
            <w:color w:val="2E74B5"/>
            <w:u w:val="single"/>
            <w:sz w:val="18"/>
            <w:szCs w:val="18"/>
          </w:rPr>
          <w:t>SEC staff report explaining gamma hedging</w:t>
        </w:r>
      </w:hyperlink>
      <w:r>
        <w:rPr>
          <w:rFonts w:ascii="Calibri" w:hAnsi="Calibri"/>
          <w:color w:val="626A73"/>
          <w:sz w:val="18"/>
        </w:rPr>
        <w:t>.</w:t>
      </w:r>
    </w:p>
    <w:p>
      <w:pPr>
        <w:pStyle w:val="Heading1"/>
        <w:keepNext/>
      </w:pPr>
      <w:r>
        <w:rPr>
          <w:rFonts w:ascii="Calibri" w:hAnsi="Calibri"/>
          <w:b/>
          <w:color w:val="2E74B5"/>
          <w:sz w:val="32"/>
        </w:rPr>
        <w:t>3. January proved AMC could stress the plumbing</w:t>
      </w:r>
    </w:p>
    <w:p>
      <w:pPr/>
      <w:r>
        <w:rPr>
          <w:rFonts w:ascii="Calibri" w:hAnsi="Calibri"/>
          <w:color w:val="111111"/>
          <w:sz w:val="22"/>
        </w:rPr>
        <w:t>June did not occur in a vacuum. Five months earlier, AMC had already produced documented clearing consequences.</w:t>
      </w:r>
    </w:p>
    <w:p>
      <w:pPr/>
      <w:r>
        <w:rPr>
          <w:rFonts w:ascii="Calibri" w:hAnsi="Calibri"/>
          <w:color w:val="111111"/>
          <w:sz w:val="22"/>
        </w:rPr>
        <w:t>The House Financial Services Committee reported that Robinhood received an approximately $3.7 billion NSCC deposit requirement on January 28, 2021. Robinhood had roughly $700 million on deposit, leaving an approximately $3 billion deficit. Robinhood's own analysis attributed approximately $850 million of its $1.3 billion Value-at-Risk charge to AMC, compared with approximately $250 million to GameStop.</w:t>
      </w:r>
    </w:p>
    <w:p>
      <w:pPr/>
      <w:r>
        <w:rPr>
          <w:rFonts w:ascii="Calibri" w:hAnsi="Calibri"/>
          <w:color w:val="111111"/>
          <w:sz w:val="22"/>
        </w:rPr>
        <w:t>The report also documented a separate Apex event. An unnamed proprietary trading firm submitted paired AMC buy and sell transactions of approximately $385 million less than one second apart. The buy processed automatically while the sell required manual intervention after AMC's price changed. Apex temporarily carried a large one-sided exposure in its clearing calculation.</w:t>
      </w:r>
    </w:p>
    <w:p>
      <w:pPr/>
      <w:r>
        <w:rPr>
          <w:rFonts w:ascii="Calibri" w:hAnsi="Calibri"/>
          <w:color w:val="111111"/>
          <w:sz w:val="22"/>
        </w:rPr>
        <w:t>Apex calculated an AMC margin requirement equal to 118% of AMC's notional value, compared with 80% for GameStop. This is why January matters to the June investigation: AMC had already demonstrated that professional trading, broker plumbing, processing timing, and collateral calculations could create consequences far beyond a simple stock chart.</w:t>
      </w:r>
    </w:p>
    <w:p>
      <w:pPr/>
      <w:r>
        <w:rPr>
          <w:rFonts w:ascii="Calibri" w:hAnsi="Calibri"/>
          <w:color w:val="111111"/>
          <w:sz w:val="22"/>
        </w:rPr>
        <w:t>The identity of the proprietary firm is not public. PEAK6 is the strongest candidate developed in the uploaded research because it occupied the correct structural neighborhood - proprietary options activity, Apex relationships, ownership and financing connections, and proprietary accounts. That is a lead, not a finding.</w:t>
      </w:r>
    </w:p>
    <w:p>
      <w:pPr/>
      <w:r>
        <w:rPr>
          <w:rFonts w:ascii="Calibri" w:hAnsi="Calibri"/>
          <w:color w:val="111111"/>
          <w:sz w:val="22"/>
        </w:rPr>
        <w:t>The House report also documented tense Citadel Securities-Robinhood discussions about the unusually high payment-for-order-flow economics generated by AMC and GameStop. That proves direct commercial contact about the order flow. It does not prove Citadel instructed Robinhood to impose position-closing-only restrictions.</w:t>
      </w:r>
    </w:p>
    <w:p>
      <w:pPr/>
      <w:r>
        <w:rPr>
          <w:rFonts w:ascii="Calibri" w:hAnsi="Calibri"/>
          <w:color w:val="111111"/>
          <w:sz w:val="22"/>
        </w:rPr>
        <w:t>The evidence rule is simple:</w:t>
      </w:r>
    </w:p>
    <w:p>
      <w:pPr>
        <w:pStyle w:val="AMCBullet"/>
        <w:numPr>
          <w:ilvl w:val="0"/>
          <w:numId w:val="13"/>
        </w:numPr>
      </w:pPr>
      <w:r>
        <w:rPr>
          <w:rFonts w:ascii="Calibri" w:hAnsi="Calibri"/>
          <w:color w:val="111111"/>
          <w:sz w:val="22"/>
        </w:rPr>
        <w:t>the collateral crisis is documented;</w:t>
      </w:r>
    </w:p>
    <w:p>
      <w:pPr>
        <w:pStyle w:val="AMCBullet"/>
        <w:numPr>
          <w:ilvl w:val="0"/>
          <w:numId w:val="13"/>
        </w:numPr>
      </w:pPr>
      <w:r>
        <w:rPr>
          <w:rFonts w:ascii="Calibri" w:hAnsi="Calibri"/>
          <w:color w:val="111111"/>
          <w:sz w:val="22"/>
        </w:rPr>
        <w:t>AMC's role is documented;</w:t>
      </w:r>
    </w:p>
    <w:p>
      <w:pPr>
        <w:pStyle w:val="AMCBullet"/>
        <w:numPr>
          <w:ilvl w:val="0"/>
          <w:numId w:val="13"/>
        </w:numPr>
      </w:pPr>
      <w:r>
        <w:rPr>
          <w:rFonts w:ascii="Calibri" w:hAnsi="Calibri"/>
          <w:color w:val="111111"/>
          <w:sz w:val="22"/>
        </w:rPr>
        <w:t>the $385 million paired trade is documented;</w:t>
      </w:r>
    </w:p>
    <w:p>
      <w:pPr>
        <w:pStyle w:val="AMCBullet"/>
        <w:numPr>
          <w:ilvl w:val="0"/>
          <w:numId w:val="13"/>
        </w:numPr>
      </w:pPr>
      <w:r>
        <w:rPr>
          <w:rFonts w:ascii="Calibri" w:hAnsi="Calibri"/>
          <w:color w:val="111111"/>
          <w:sz w:val="22"/>
        </w:rPr>
        <w:t>the trader's identity is unresolved; and</w:t>
      </w:r>
    </w:p>
    <w:p>
      <w:pPr>
        <w:pStyle w:val="AMCBullet"/>
        <w:numPr>
          <w:ilvl w:val="0"/>
          <w:numId w:val="13"/>
        </w:numPr>
      </w:pPr>
      <w:r>
        <w:rPr>
          <w:rFonts w:ascii="Calibri" w:hAnsi="Calibri"/>
          <w:color w:val="111111"/>
          <w:sz w:val="22"/>
        </w:rPr>
        <w:t>an unlawful agreement to restrict purchases is not established by the public record.</w:t>
      </w:r>
    </w:p>
    <w:p>
      <w:pPr>
        <w:pStyle w:val="Source"/>
        <w:keepLines/>
      </w:pPr>
      <w:r>
        <w:rPr>
          <w:rFonts w:ascii="Calibri" w:hAnsi="Calibri"/>
          <w:b/>
          <w:color w:val="626A73"/>
          <w:sz w:val="18"/>
        </w:rPr>
        <w:t>Key source:</w:t>
      </w:r>
      <w:r>
        <w:rPr>
          <w:rFonts w:ascii="Calibri" w:hAnsi="Calibri"/>
          <w:color w:val="626A73"/>
          <w:sz w:val="18"/>
        </w:rPr>
        <w:t xml:space="preserve"> </w:t>
      </w:r>
      <w:hyperlink r:id="rId17">
        <w:r>
          <w:rPr>
            <w:rFonts w:ascii="Calibri" w:hAnsi="Calibri"/>
            <w:color w:val="2E74B5"/>
            <w:u w:val="single"/>
            <w:sz w:val="18"/>
            <w:szCs w:val="18"/>
          </w:rPr>
          <w:t>House Financial Services Committee, *Game Stopped*</w:t>
        </w:r>
      </w:hyperlink>
      <w:r>
        <w:rPr>
          <w:rFonts w:ascii="Calibri" w:hAnsi="Calibri"/>
          <w:color w:val="626A73"/>
          <w:sz w:val="18"/>
        </w:rPr>
        <w:t>.</w:t>
      </w:r>
    </w:p>
    <w:p>
      <w:pPr>
        <w:pStyle w:val="Heading1"/>
        <w:keepNext/>
      </w:pPr>
      <w:r>
        <w:rPr>
          <w:rFonts w:ascii="Calibri" w:hAnsi="Calibri"/>
          <w:b/>
          <w:color w:val="2E74B5"/>
          <w:sz w:val="32"/>
        </w:rPr>
        <w:t>4. The 42-day June ledger</w:t>
      </w:r>
    </w:p>
    <w:tbl>
      <w:tblPr>
        <w:tblStyle w:val="TableGrid"/>
        <w:tblW w:type="dxa" w:w="9360"/>
        <w:jc w:val="left"/>
        <w:tblLayout w:type="fixed"/>
        <w:tblLook w:firstColumn="1" w:firstRow="1" w:lastColumn="0" w:lastRow="0" w:noHBand="0" w:noVBand="1" w:val="04A0"/>
        <w:tblInd w:type="dxa" w:w="120"/>
      </w:tblPr>
      <w:tblGrid>
        <w:gridCol w:w="1500"/>
        <w:gridCol w:w="3680"/>
        <w:gridCol w:w="4180"/>
      </w:tblGrid>
      <w:tr>
        <w:trPr>
          <w:cantSplit/>
          <w:trHeight w:hRule="auto"/>
          <w:tblHeader w:val="true"/>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Date</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Documented event</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Investigative significance</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May 28</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FINRA reported 102,303,320 AMC shares short.</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Large reported short interest remained immediately before the run.</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1</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AMC issued 8.5 million shares to Mudrick at $27.12.</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New deliverable inventory entered the market. Same-day resale was reported but is not identified in a Mudrick trade filing.</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2</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AMC reached $72.62 intraday and closed $62.55; approximately 501.780 million shares were outstanding.</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Verified regular-session reference high and share-count denominator.</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2</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Approximately 4.6 million AMC options contracts traded.</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options market was central in scale; trade direction and dealer position remain hidden.</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June 3-4</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AMC completed an 11.55 million-share ATM at an average $50.85. The aggregate FTD balance was 5,448,460 on June 3 and 1,402,677 on June 4.</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Under T+2, June 3 corresponds to June 1 trading; June 4 is the first settlement date capable of reflecting June 2 trades. Aggregate data cannot assign a source.</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15</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FINRA reported 85,076,339 shares short.</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Reported short interest declined but remained substantial.</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18-30</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FTD balances rose into a sustained range of roughly 3.56-4.42 million shares.</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 persistent settlement cluster developed.</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25</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AMC entered the NYSE Regulation SHO threshold list.</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aggregate fail condition met the rule's persistence and size tests.</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28-30</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Short-marked volume equaled 51.62%, 56.32%, and 54.41% of FINRA-reported off-exchange AMC volume.</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High short-marked off-exchange flow overlapped the decline; this is flow, not open short interest.</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30</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FINRA reported 75,479,862 shares short; quarter-end 13Fs captured manager positions.</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Common date for reported equity shorts and disclosed long holdings, not a consolidated dealer net position.</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July 2-6</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Aggregate FTDs fell from 2,248,513 to 41,296.</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 major settlement reduction occurred; the public file does not identify deliveries, borrows, buy-ins, netting, or participants.</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July 8-9</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AMC remained on the threshold list through July 8 and was absent July 9.</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public threshold episode has a defined end.</w:t>
            </w:r>
          </w:p>
        </w:tc>
      </w:tr>
      <w:tr>
        <w:trPr>
          <w:cantSplit/>
          <w:trHeight w:hRule="auto"/>
        </w:trPr>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July 14-15</w:t>
            </w:r>
          </w:p>
        </w:tc>
        <w:tc>
          <w:tcPr>
            <w:tcW w:type="dxa" w:w="36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AMC closed $33.43 on July 14; FINRA reported 79,747,897 shares short on July 15.</w:t>
            </w:r>
          </w:p>
        </w:tc>
        <w:tc>
          <w:tcPr>
            <w:tcW w:type="dxa" w:w="418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Price had lost 53.96% from the June 2 high while short interest rose 5.65% from the June 30 snapshot.</w:t>
            </w:r>
          </w:p>
        </w:tc>
      </w:tr>
    </w:tbl>
    <w:p>
      <w:pPr>
        <w:spacing w:before="0" w:after="40" w:line="240" w:lineRule="auto"/>
      </w:pPr>
    </w:p>
    <w:p>
      <w:pPr>
        <w:pStyle w:val="Heading2"/>
        <w:keepNext/>
      </w:pPr>
      <w:r>
        <w:rPr>
          <w:rFonts w:ascii="Calibri" w:hAnsi="Calibri"/>
          <w:b/>
          <w:color w:val="2E74B5"/>
          <w:sz w:val="26"/>
        </w:rPr>
        <w:t>The FTD cluster</w:t>
      </w:r>
    </w:p>
    <w:p>
      <w:pPr/>
      <w:r>
        <w:t>Selected SEC aggregate balances reveal two episodes rather than one continuous chain:</w:t>
      </w:r>
    </w:p>
    <w:tbl>
      <w:tblPr>
        <w:tblStyle w:val="TableGrid"/>
        <w:tblW w:type="dxa" w:w="9360"/>
        <w:jc w:val="left"/>
        <w:tblLayout w:type="fixed"/>
        <w:tblLook w:firstColumn="1" w:firstRow="1" w:lastColumn="0" w:lastRow="0" w:noHBand="0" w:noVBand="1" w:val="04A0"/>
        <w:tblInd w:type="dxa" w:w="120"/>
      </w:tblPr>
      <w:tblGrid>
        <w:gridCol w:w="3100"/>
        <w:gridCol w:w="6260"/>
      </w:tblGrid>
      <w:tr>
        <w:trPr>
          <w:cantSplit/>
          <w:trHeight w:hRule="auto"/>
          <w:tblHeader w:val="true"/>
        </w:trPr>
        <w:tc>
          <w:tcPr>
            <w:tcW w:type="dxa" w:w="31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Settlement date</w:t>
            </w:r>
          </w:p>
        </w:tc>
        <w:tc>
          <w:tcPr>
            <w:tcW w:type="dxa" w:w="62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Aggregate AMC FTD balance</w:t>
            </w:r>
          </w:p>
        </w:tc>
      </w:tr>
      <w:tr>
        <w:trPr>
          <w:cantSplit/>
        </w:trPr>
        <w:tc>
          <w:tcPr>
            <w:tcW w:type="dxa" w:w="3100"/>
            <w:vAlign w:val="center"/>
            <w:shd w:fill="F4F7FA"/>
          </w:tcPr>
          <w:p>
            <w:r/>
            <w:r>
              <w:rPr>
                <w:rFonts w:ascii="Aptos" w:hAnsi="Aptos"/>
                <w:sz w:val="17"/>
              </w:rPr>
              <w:t>June 1</w:t>
            </w:r>
          </w:p>
        </w:tc>
        <w:tc>
          <w:tcPr>
            <w:tcW w:type="dxa" w:w="6260"/>
            <w:vAlign w:val="center"/>
            <w:shd w:fill="F4F7FA"/>
          </w:tcPr>
          <w:p>
            <w:r/>
            <w:r>
              <w:rPr>
                <w:rFonts w:ascii="Aptos" w:hAnsi="Aptos"/>
                <w:sz w:val="17"/>
              </w:rPr>
              <w:t>1,799,143</w:t>
            </w:r>
          </w:p>
        </w:tc>
      </w:tr>
      <w:tr>
        <w:trPr>
          <w:cantSplit/>
        </w:trPr>
        <w:tc>
          <w:tcPr>
            <w:tcW w:type="dxa" w:w="3100"/>
            <w:vAlign w:val="center"/>
            <w:shd w:fill="FFFFFF"/>
          </w:tcPr>
          <w:p>
            <w:r/>
            <w:r>
              <w:rPr>
                <w:rFonts w:ascii="Aptos" w:hAnsi="Aptos"/>
                <w:sz w:val="17"/>
              </w:rPr>
              <w:t>June 2</w:t>
            </w:r>
          </w:p>
        </w:tc>
        <w:tc>
          <w:tcPr>
            <w:tcW w:type="dxa" w:w="6260"/>
            <w:vAlign w:val="center"/>
            <w:shd w:fill="FFFFFF"/>
          </w:tcPr>
          <w:p>
            <w:r/>
            <w:r>
              <w:rPr>
                <w:rFonts w:ascii="Aptos" w:hAnsi="Aptos"/>
                <w:sz w:val="17"/>
              </w:rPr>
              <w:t>1,259,609</w:t>
            </w:r>
          </w:p>
        </w:tc>
      </w:tr>
      <w:tr>
        <w:trPr>
          <w:cantSplit/>
        </w:trPr>
        <w:tc>
          <w:tcPr>
            <w:tcW w:type="dxa" w:w="3100"/>
            <w:vAlign w:val="center"/>
            <w:shd w:fill="F4F7FA"/>
          </w:tcPr>
          <w:p>
            <w:r/>
            <w:r>
              <w:rPr>
                <w:rFonts w:ascii="Aptos" w:hAnsi="Aptos"/>
                <w:sz w:val="17"/>
              </w:rPr>
              <w:t>June 3</w:t>
            </w:r>
          </w:p>
        </w:tc>
        <w:tc>
          <w:tcPr>
            <w:tcW w:type="dxa" w:w="6260"/>
            <w:vAlign w:val="center"/>
            <w:shd w:fill="F4F7FA"/>
          </w:tcPr>
          <w:p>
            <w:r/>
            <w:r>
              <w:rPr>
                <w:rFonts w:ascii="Aptos" w:hAnsi="Aptos"/>
                <w:sz w:val="17"/>
              </w:rPr>
              <w:t>5,448,460</w:t>
            </w:r>
          </w:p>
        </w:tc>
      </w:tr>
      <w:tr>
        <w:trPr>
          <w:cantSplit/>
        </w:trPr>
        <w:tc>
          <w:tcPr>
            <w:tcW w:type="dxa" w:w="3100"/>
            <w:vAlign w:val="center"/>
            <w:shd w:fill="FFFFFF"/>
          </w:tcPr>
          <w:p>
            <w:r/>
            <w:r>
              <w:rPr>
                <w:rFonts w:ascii="Aptos" w:hAnsi="Aptos"/>
                <w:sz w:val="17"/>
              </w:rPr>
              <w:t>June 4</w:t>
            </w:r>
          </w:p>
        </w:tc>
        <w:tc>
          <w:tcPr>
            <w:tcW w:type="dxa" w:w="6260"/>
            <w:vAlign w:val="center"/>
            <w:shd w:fill="FFFFFF"/>
          </w:tcPr>
          <w:p>
            <w:r/>
            <w:r>
              <w:rPr>
                <w:rFonts w:ascii="Aptos" w:hAnsi="Aptos"/>
                <w:sz w:val="17"/>
              </w:rPr>
              <w:t>1,402,677</w:t>
            </w:r>
          </w:p>
        </w:tc>
      </w:tr>
      <w:tr>
        <w:trPr>
          <w:cantSplit/>
        </w:trPr>
        <w:tc>
          <w:tcPr>
            <w:tcW w:type="dxa" w:w="3100"/>
            <w:vAlign w:val="center"/>
            <w:shd w:fill="F4F7FA"/>
          </w:tcPr>
          <w:p>
            <w:r/>
            <w:r>
              <w:rPr>
                <w:rFonts w:ascii="Aptos" w:hAnsi="Aptos"/>
                <w:sz w:val="17"/>
              </w:rPr>
              <w:t>June 7</w:t>
            </w:r>
          </w:p>
        </w:tc>
        <w:tc>
          <w:tcPr>
            <w:tcW w:type="dxa" w:w="6260"/>
            <w:vAlign w:val="center"/>
            <w:shd w:fill="F4F7FA"/>
          </w:tcPr>
          <w:p>
            <w:r/>
            <w:r>
              <w:rPr>
                <w:rFonts w:ascii="Aptos" w:hAnsi="Aptos"/>
                <w:sz w:val="17"/>
              </w:rPr>
              <w:t>49,700</w:t>
            </w:r>
          </w:p>
        </w:tc>
      </w:tr>
      <w:tr>
        <w:trPr>
          <w:cantSplit/>
        </w:trPr>
        <w:tc>
          <w:tcPr>
            <w:tcW w:type="dxa" w:w="3100"/>
            <w:vAlign w:val="center"/>
            <w:shd w:fill="FFFFFF"/>
          </w:tcPr>
          <w:p>
            <w:r/>
            <w:r>
              <w:rPr>
                <w:rFonts w:ascii="Aptos" w:hAnsi="Aptos"/>
                <w:sz w:val="17"/>
              </w:rPr>
              <w:t>June 15</w:t>
            </w:r>
          </w:p>
        </w:tc>
        <w:tc>
          <w:tcPr>
            <w:tcW w:type="dxa" w:w="6260"/>
            <w:vAlign w:val="center"/>
            <w:shd w:fill="FFFFFF"/>
          </w:tcPr>
          <w:p>
            <w:r/>
            <w:r>
              <w:rPr>
                <w:rFonts w:ascii="Aptos" w:hAnsi="Aptos"/>
                <w:sz w:val="17"/>
              </w:rPr>
              <w:t>41,705</w:t>
            </w:r>
          </w:p>
        </w:tc>
      </w:tr>
      <w:tr>
        <w:trPr>
          <w:cantSplit/>
        </w:trPr>
        <w:tc>
          <w:tcPr>
            <w:tcW w:type="dxa" w:w="3100"/>
            <w:vAlign w:val="center"/>
            <w:shd w:fill="F4F7FA"/>
          </w:tcPr>
          <w:p>
            <w:r/>
            <w:r>
              <w:rPr>
                <w:rFonts w:ascii="Aptos" w:hAnsi="Aptos"/>
                <w:sz w:val="17"/>
              </w:rPr>
              <w:t>June 17</w:t>
            </w:r>
          </w:p>
        </w:tc>
        <w:tc>
          <w:tcPr>
            <w:tcW w:type="dxa" w:w="6260"/>
            <w:vAlign w:val="center"/>
            <w:shd w:fill="F4F7FA"/>
          </w:tcPr>
          <w:p>
            <w:r/>
            <w:r>
              <w:rPr>
                <w:rFonts w:ascii="Aptos" w:hAnsi="Aptos"/>
                <w:sz w:val="17"/>
              </w:rPr>
              <w:t>15,325</w:t>
            </w:r>
          </w:p>
        </w:tc>
      </w:tr>
      <w:tr>
        <w:trPr>
          <w:cantSplit/>
        </w:trPr>
        <w:tc>
          <w:tcPr>
            <w:tcW w:type="dxa" w:w="3100"/>
            <w:vAlign w:val="center"/>
            <w:shd w:fill="FFFFFF"/>
          </w:tcPr>
          <w:p>
            <w:r/>
            <w:r>
              <w:rPr>
                <w:rFonts w:ascii="Aptos" w:hAnsi="Aptos"/>
                <w:sz w:val="17"/>
              </w:rPr>
              <w:t>June 18</w:t>
            </w:r>
          </w:p>
        </w:tc>
        <w:tc>
          <w:tcPr>
            <w:tcW w:type="dxa" w:w="6260"/>
            <w:vAlign w:val="center"/>
            <w:shd w:fill="FFFFFF"/>
          </w:tcPr>
          <w:p>
            <w:r/>
            <w:r>
              <w:rPr>
                <w:rFonts w:ascii="Aptos" w:hAnsi="Aptos"/>
                <w:sz w:val="17"/>
              </w:rPr>
              <w:t>2,333,859</w:t>
            </w:r>
          </w:p>
        </w:tc>
      </w:tr>
      <w:tr>
        <w:trPr>
          <w:cantSplit/>
        </w:trPr>
        <w:tc>
          <w:tcPr>
            <w:tcW w:type="dxa" w:w="3100"/>
            <w:vAlign w:val="center"/>
            <w:shd w:fill="F4F7FA"/>
          </w:tcPr>
          <w:p>
            <w:r/>
            <w:r>
              <w:rPr>
                <w:rFonts w:ascii="Aptos" w:hAnsi="Aptos"/>
                <w:sz w:val="17"/>
              </w:rPr>
              <w:t>June 21</w:t>
            </w:r>
          </w:p>
        </w:tc>
        <w:tc>
          <w:tcPr>
            <w:tcW w:type="dxa" w:w="6260"/>
            <w:vAlign w:val="center"/>
            <w:shd w:fill="F4F7FA"/>
          </w:tcPr>
          <w:p>
            <w:r/>
            <w:r>
              <w:rPr>
                <w:rFonts w:ascii="Aptos" w:hAnsi="Aptos"/>
                <w:sz w:val="17"/>
              </w:rPr>
              <w:t>4,053,113</w:t>
            </w:r>
          </w:p>
        </w:tc>
      </w:tr>
      <w:tr>
        <w:trPr>
          <w:cantSplit/>
        </w:trPr>
        <w:tc>
          <w:tcPr>
            <w:tcW w:type="dxa" w:w="3100"/>
            <w:vAlign w:val="center"/>
            <w:shd w:fill="FFFFFF"/>
          </w:tcPr>
          <w:p>
            <w:r/>
            <w:r>
              <w:rPr>
                <w:rFonts w:ascii="Aptos" w:hAnsi="Aptos"/>
                <w:sz w:val="17"/>
              </w:rPr>
              <w:t>June 25</w:t>
            </w:r>
          </w:p>
        </w:tc>
        <w:tc>
          <w:tcPr>
            <w:tcW w:type="dxa" w:w="6260"/>
            <w:vAlign w:val="center"/>
            <w:shd w:fill="FFFFFF"/>
          </w:tcPr>
          <w:p>
            <w:r/>
            <w:r>
              <w:rPr>
                <w:rFonts w:ascii="Aptos" w:hAnsi="Aptos"/>
                <w:sz w:val="17"/>
              </w:rPr>
              <w:t>4,419,417</w:t>
            </w:r>
          </w:p>
        </w:tc>
      </w:tr>
      <w:tr>
        <w:trPr>
          <w:cantSplit/>
        </w:trPr>
        <w:tc>
          <w:tcPr>
            <w:tcW w:type="dxa" w:w="3100"/>
            <w:vAlign w:val="center"/>
            <w:shd w:fill="F4F7FA"/>
          </w:tcPr>
          <w:p>
            <w:r/>
            <w:r>
              <w:rPr>
                <w:rFonts w:ascii="Aptos" w:hAnsi="Aptos"/>
                <w:sz w:val="17"/>
              </w:rPr>
              <w:t>June 30</w:t>
            </w:r>
          </w:p>
        </w:tc>
        <w:tc>
          <w:tcPr>
            <w:tcW w:type="dxa" w:w="6260"/>
            <w:vAlign w:val="center"/>
            <w:shd w:fill="F4F7FA"/>
          </w:tcPr>
          <w:p>
            <w:r/>
            <w:r>
              <w:rPr>
                <w:rFonts w:ascii="Aptos" w:hAnsi="Aptos"/>
                <w:sz w:val="17"/>
              </w:rPr>
              <w:t>4,207,210</w:t>
            </w:r>
          </w:p>
        </w:tc>
      </w:tr>
      <w:tr>
        <w:trPr>
          <w:cantSplit/>
        </w:trPr>
        <w:tc>
          <w:tcPr>
            <w:tcW w:type="dxa" w:w="3100"/>
            <w:vAlign w:val="center"/>
            <w:shd w:fill="FFFFFF"/>
          </w:tcPr>
          <w:p>
            <w:r/>
            <w:r>
              <w:rPr>
                <w:rFonts w:ascii="Aptos" w:hAnsi="Aptos"/>
                <w:sz w:val="17"/>
              </w:rPr>
              <w:t>July 1</w:t>
            </w:r>
          </w:p>
        </w:tc>
        <w:tc>
          <w:tcPr>
            <w:tcW w:type="dxa" w:w="6260"/>
            <w:vAlign w:val="center"/>
            <w:shd w:fill="FFFFFF"/>
          </w:tcPr>
          <w:p>
            <w:r/>
            <w:r>
              <w:rPr>
                <w:rFonts w:ascii="Aptos" w:hAnsi="Aptos"/>
                <w:sz w:val="17"/>
              </w:rPr>
              <w:t>3,519,354</w:t>
            </w:r>
          </w:p>
        </w:tc>
      </w:tr>
      <w:tr>
        <w:trPr>
          <w:cantSplit/>
        </w:trPr>
        <w:tc>
          <w:tcPr>
            <w:tcW w:type="dxa" w:w="3100"/>
            <w:vAlign w:val="center"/>
            <w:shd w:fill="F4F7FA"/>
          </w:tcPr>
          <w:p>
            <w:r/>
            <w:r>
              <w:rPr>
                <w:rFonts w:ascii="Aptos" w:hAnsi="Aptos"/>
                <w:sz w:val="17"/>
              </w:rPr>
              <w:t>July 2</w:t>
            </w:r>
          </w:p>
        </w:tc>
        <w:tc>
          <w:tcPr>
            <w:tcW w:type="dxa" w:w="6260"/>
            <w:vAlign w:val="center"/>
            <w:shd w:fill="F4F7FA"/>
          </w:tcPr>
          <w:p>
            <w:r/>
            <w:r>
              <w:rPr>
                <w:rFonts w:ascii="Aptos" w:hAnsi="Aptos"/>
                <w:sz w:val="17"/>
              </w:rPr>
              <w:t>2,248,513</w:t>
            </w:r>
          </w:p>
        </w:tc>
      </w:tr>
      <w:tr>
        <w:trPr>
          <w:cantSplit/>
        </w:trPr>
        <w:tc>
          <w:tcPr>
            <w:tcW w:type="dxa" w:w="3100"/>
            <w:vAlign w:val="center"/>
            <w:shd w:fill="FFFFFF"/>
          </w:tcPr>
          <w:p>
            <w:r/>
            <w:r>
              <w:rPr>
                <w:rFonts w:ascii="Aptos" w:hAnsi="Aptos"/>
                <w:sz w:val="17"/>
              </w:rPr>
              <w:t>July 6</w:t>
            </w:r>
          </w:p>
        </w:tc>
        <w:tc>
          <w:tcPr>
            <w:tcW w:type="dxa" w:w="6260"/>
            <w:vAlign w:val="center"/>
            <w:shd w:fill="FFFFFF"/>
          </w:tcPr>
          <w:p>
            <w:r/>
            <w:r>
              <w:rPr>
                <w:rFonts w:ascii="Aptos" w:hAnsi="Aptos"/>
                <w:sz w:val="17"/>
              </w:rPr>
              <w:t>41,296</w:t>
            </w:r>
          </w:p>
        </w:tc>
      </w:tr>
    </w:tbl>
    <w:p>
      <w:pPr>
        <w:spacing w:before="0" w:after="40" w:line="240" w:lineRule="auto"/>
      </w:pPr>
    </w:p>
    <w:p>
      <w:pPr/>
      <w:r>
        <w:t>The June 3 balance of 5,448,460 maps to June 1 trading under the then-applicable T+2 cycle. June 4—the first settlement date capable of reflecting June 2 trades—was 1,402,677, and the balance fell to 49,700 by June 7. A distinct second episode began June 18 and persisted through month-end. That chronology does not prove the June 2 options burst caused the late-June cluster.</w:t>
      </w:r>
    </w:p>
    <w:p>
      <w:pPr/>
      <w:r>
        <w:t>These balances are aggregate net snapshots. They cannot be added across days, aged, or assigned to a participant, and they can arise from long or short sales. The sharper questions are what created each episode and what caused the later balance to collapse before AMC left the threshold list. Deliveries, stock borrows, buy-ins, Continuous Net Settlement allocations, new inventory, and netting are all possible. The public spreadsheet shows the consequence; the participant ledger would show the transaction.</w:t>
      </w:r>
    </w:p>
    <w:p>
      <w:pPr>
        <w:pStyle w:val="Heading2"/>
        <w:keepNext/>
      </w:pPr>
      <w:r>
        <w:rPr>
          <w:rFonts w:ascii="Calibri" w:hAnsi="Calibri"/>
          <w:b/>
          <w:color w:val="2E74B5"/>
          <w:sz w:val="26"/>
        </w:rPr>
        <w:t>The off-exchange ocean</w:t>
      </w:r>
    </w:p>
    <w:p>
      <w:pPr/>
      <w:r>
        <w:rPr>
          <w:rFonts w:ascii="Calibri" w:hAnsi="Calibri"/>
          <w:color w:val="111111"/>
          <w:sz w:val="22"/>
        </w:rPr>
        <w:t>Across 22 June 2021 trading days, FINRA's consolidated TRF/ADF files showed approximately 2.888 billion AMC shares of publicly disseminated regular-hours off-exchange volume. Approximately 1.170 billion shares were marked short or short-exempt, equal to 40.50%.</w:t>
      </w:r>
    </w:p>
    <w:p>
      <w:pPr/>
      <w:r>
        <w:rPr>
          <w:rFonts w:ascii="Calibri" w:hAnsi="Calibri"/>
          <w:color w:val="111111"/>
          <w:sz w:val="22"/>
        </w:rPr>
        <w:t>On June 2 alone, FINRA reported approximately 371.221 million off-exchange AMC shares, including approximately 162.922 million short or short-exempt shares.</w:t>
      </w:r>
    </w:p>
    <w:p>
      <w:pPr/>
      <w:r>
        <w:rPr>
          <w:rFonts w:ascii="Calibri" w:hAnsi="Calibri"/>
          <w:color w:val="111111"/>
          <w:sz w:val="22"/>
        </w:rPr>
        <w:t>Those figures are gross turnover. The same share can trade repeatedly. The files omit exchange activity and do not show every offsetting purchase. They do not distinguish every ATS dark-pool execution from non-ATS wholesaler internalization. Daily short volume is not open short interest.</w:t>
      </w:r>
    </w:p>
    <w:p>
      <w:pPr/>
      <w:r>
        <w:rPr>
          <w:rFonts w:ascii="Calibri" w:hAnsi="Calibri"/>
          <w:color w:val="111111"/>
          <w:sz w:val="22"/>
        </w:rPr>
        <w:t>Those limits do not make the volume meaningless. They define the missing bridge: executing firm, venue, customer side, inventory, hedge, locate, borrow, and settlement outcome.</w:t>
      </w:r>
    </w:p>
    <w:p>
      <w:pPr>
        <w:pStyle w:val="Source"/>
        <w:keepLines/>
      </w:pPr>
      <w:r>
        <w:rPr>
          <w:rFonts w:ascii="Calibri" w:hAnsi="Calibri"/>
          <w:b/>
          <w:color w:val="626A73"/>
          <w:sz w:val="18"/>
        </w:rPr>
        <w:t>Key sources:</w:t>
      </w:r>
      <w:r>
        <w:rPr>
          <w:rFonts w:ascii="Calibri" w:hAnsi="Calibri"/>
          <w:color w:val="626A73"/>
          <w:sz w:val="18"/>
        </w:rPr>
        <w:t xml:space="preserve"> </w:t>
      </w:r>
      <w:hyperlink r:id="rId18">
        <w:r>
          <w:rPr>
            <w:rFonts w:ascii="Calibri" w:hAnsi="Calibri"/>
            <w:color w:val="2E74B5"/>
            <w:u w:val="single"/>
            <w:sz w:val="18"/>
            <w:szCs w:val="18"/>
          </w:rPr>
          <w:t>SEC fails-to-deliver data and methodology</w:t>
        </w:r>
      </w:hyperlink>
      <w:r>
        <w:rPr>
          <w:rFonts w:ascii="Calibri" w:hAnsi="Calibri"/>
          <w:color w:val="626A73"/>
          <w:sz w:val="18"/>
        </w:rPr>
        <w:t xml:space="preserve">; </w:t>
      </w:r>
      <w:hyperlink r:id="rId19">
        <w:r>
          <w:rPr>
            <w:rFonts w:ascii="Calibri" w:hAnsi="Calibri"/>
            <w:color w:val="2E74B5"/>
            <w:u w:val="single"/>
            <w:sz w:val="18"/>
            <w:szCs w:val="18"/>
          </w:rPr>
          <w:t>NYSE Regulation SHO lists</w:t>
        </w:r>
      </w:hyperlink>
      <w:r>
        <w:rPr>
          <w:rFonts w:ascii="Calibri" w:hAnsi="Calibri"/>
          <w:color w:val="626A73"/>
          <w:sz w:val="18"/>
        </w:rPr>
        <w:t xml:space="preserve">; </w:t>
      </w:r>
      <w:hyperlink r:id="rId20">
        <w:r>
          <w:rPr>
            <w:rFonts w:ascii="Calibri" w:hAnsi="Calibri"/>
            <w:color w:val="2E74B5"/>
            <w:u w:val="single"/>
            <w:sz w:val="18"/>
            <w:szCs w:val="18"/>
          </w:rPr>
          <w:t>FINRA daily short-sale volume methodology</w:t>
        </w:r>
      </w:hyperlink>
      <w:r>
        <w:rPr>
          <w:rFonts w:ascii="Calibri" w:hAnsi="Calibri"/>
          <w:color w:val="626A73"/>
          <w:sz w:val="18"/>
        </w:rPr>
        <w:t xml:space="preserve">; </w:t>
      </w:r>
      <w:hyperlink r:id="rId21">
        <w:r>
          <w:rPr>
            <w:rFonts w:ascii="Calibri" w:hAnsi="Calibri"/>
            <w:color w:val="2E74B5"/>
            <w:u w:val="single"/>
            <w:sz w:val="18"/>
            <w:szCs w:val="18"/>
          </w:rPr>
          <w:t>FINRA short-interest reporting</w:t>
        </w:r>
      </w:hyperlink>
      <w:r>
        <w:rPr>
          <w:rFonts w:ascii="Calibri" w:hAnsi="Calibri"/>
          <w:color w:val="626A73"/>
          <w:sz w:val="18"/>
        </w:rPr>
        <w:t>.</w:t>
      </w:r>
    </w:p>
    <w:p>
      <w:pPr>
        <w:pStyle w:val="Heading1"/>
        <w:keepNext/>
      </w:pPr>
      <w:r>
        <w:rPr>
          <w:rFonts w:ascii="Calibri" w:hAnsi="Calibri"/>
          <w:b/>
          <w:color w:val="2E74B5"/>
          <w:sz w:val="32"/>
        </w:rPr>
        <w:t>5. The intraday tape: what the observation means</w:t>
      </w:r>
    </w:p>
    <w:p>
      <w:pPr/>
      <w:r>
        <w:rPr>
          <w:rFonts w:ascii="Calibri" w:hAnsi="Calibri"/>
          <w:color w:val="111111"/>
          <w:sz w:val="22"/>
        </w:rPr>
        <w:t>The new tape observation can be stated cleanly:</w:t>
      </w:r>
    </w:p>
    <w:p>
      <w:pPr>
        <w:pStyle w:val="Callout"/>
        <w:shd w:fill="F4F6F9"/>
        <w:keepLines/>
        <w:pBdr>
          <w:left w:val="single" w:sz="18" w:space="8" w:color="2E74B5"/>
        </w:pBdr>
      </w:pPr>
      <w:r>
        <w:rPr>
          <w:rFonts w:ascii="Calibri" w:hAnsi="Calibri"/>
          <w:b/>
          <w:color w:val="0B2545"/>
          <w:sz w:val="22"/>
        </w:rPr>
        <w:t>Aggressive buying appears to dominate much of the day. The final half hour looks sell-heavy, yet the stock remains up. Is the late tape ordinary closing activity, dealer inventory and hedging, or the visible edge of a delivery and settlement imbalance?</w:t>
      </w:r>
    </w:p>
    <w:p>
      <w:pPr/>
      <w:r>
        <w:rPr>
          <w:rFonts w:ascii="Calibri" w:hAnsi="Calibri"/>
          <w:color w:val="111111"/>
          <w:sz w:val="22"/>
        </w:rPr>
        <w:t>That is a legitimate question. The original explanation, however, mixed several different systems.</w:t>
      </w:r>
    </w:p>
    <w:tbl>
      <w:tblPr>
        <w:tblStyle w:val="TableGrid"/>
        <w:tblW w:type="dxa" w:w="9360"/>
        <w:jc w:val="left"/>
        <w:tblLayout w:type="fixed"/>
        <w:tblLook w:firstColumn="1" w:firstRow="1" w:lastColumn="0" w:lastRow="0" w:noHBand="0" w:noVBand="1" w:val="04A0"/>
        <w:tblInd w:type="dxa" w:w="120"/>
      </w:tblPr>
      <w:tblGrid>
        <w:gridCol w:w="2450"/>
        <w:gridCol w:w="3450"/>
        <w:gridCol w:w="3460"/>
      </w:tblGrid>
      <w:tr>
        <w:trPr>
          <w:cantSplit/>
          <w:trHeight w:hRule="auto"/>
          <w:tblHeader w:val="true"/>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Claim or observation</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What the mechanics actually say</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What would test it</w:t>
            </w:r>
          </w:p>
        </w:tc>
      </w:tr>
      <w:tr>
        <w:trPr>
          <w:cantSplit/>
          <w:trHeight w:hRule="auto"/>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"Buys all day"</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Most order-flow tools classify buyer-initiated trades at or near the ask. Every execution still has both a buyer and a seller.</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Raw trades and quotes, aggressor classification method, venue, odd-lot treatment, and corrections.</w:t>
            </w:r>
          </w:p>
        </w:tc>
      </w:tr>
      <w:tr>
        <w:trPr>
          <w:cantSplit/>
          <w:trHeight w:hRule="auto"/>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"End-of-day sold volume must match purchases"</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Executed share volume is already matched trade by trade. Brokers and clearing agencies later net cash and delivery obligations; they do not create an equal block of sell volume merely to balance the day's buys.</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NSCC trade capture, CNS net positions, broker omnibus subledgers, and settlement instructions.</w:t>
            </w:r>
          </w:p>
        </w:tc>
      </w:tr>
      <w:tr>
        <w:trPr>
          <w:cantSplit/>
          <w:trHeight w:hRule="auto"/>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"They need a locate at the end of the day"</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Regulation SHO generally requires a documented locate before effecting a short sale, subject to specified exceptions. Delivery occurs on settlement date. June 2021 used T+2; the current U.S. cycle is T+1.</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Locate tickets, exception codes, order markings, stock-loan borrows, and Rule 204 closeout records.</w:t>
            </w:r>
          </w:p>
        </w:tc>
      </w:tr>
      <w:tr>
        <w:trPr>
          <w:cantSplit/>
          <w:trHeight w:hRule="auto"/>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final half hour is a ladder down"</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 sell-heavy close can result from closing-auction imbalances, index and fund flows, profit-taking, option hedging, dealer inventory reduction, internalization, or short selling. A chart alone does not establish coordinated manipulation.</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NYSE closing-auction data, participant-level CAT/EBS records, order cancellations, matched-order analysis, and communications.</w:t>
            </w:r>
          </w:p>
        </w:tc>
      </w:tr>
      <w:tr>
        <w:trPr>
          <w:cantSplit/>
          <w:trHeight w:hRule="auto"/>
        </w:trPr>
        <w:tc>
          <w:tcPr>
            <w:tcW w:type="dxa" w:w="2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price stayed up anyway"</w:t>
            </w:r>
          </w:p>
        </w:tc>
        <w:tc>
          <w:tcPr>
            <w:tcW w:type="dxa" w:w="34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This is consistent with absorption: bids accepted available supply at prices above the prior close. It does not identify the buyer, seller, or legal reason for the flow.</w:t>
            </w:r>
          </w:p>
        </w:tc>
        <w:tc>
          <w:tcPr>
            <w:tcW w:type="dxa" w:w="3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Venue-resolved depth, order-book replenishment, broker/dealer inventory, and beneficial-account data.</w:t>
            </w:r>
          </w:p>
        </w:tc>
      </w:tr>
    </w:tbl>
    <w:p>
      <w:pPr>
        <w:spacing w:before="0" w:after="40" w:line="240" w:lineRule="auto"/>
      </w:pPr>
    </w:p>
    <w:p>
      <w:pPr/>
      <w:r>
        <w:rPr>
          <w:rFonts w:ascii="Calibri" w:hAnsi="Calibri"/>
          <w:color w:val="111111"/>
          <w:sz w:val="22"/>
        </w:rPr>
        <w:t>The show should not throw away the observation. It should upgrade it.</w:t>
      </w:r>
    </w:p>
    <w:p>
      <w:pPr/>
      <w:r>
        <w:rPr>
          <w:rFonts w:ascii="Calibri" w:hAnsi="Calibri"/>
          <w:b/>
          <w:color w:val="111111"/>
          <w:sz w:val="22"/>
        </w:rPr>
        <w:t>Documented observation:</w:t>
      </w:r>
      <w:r>
        <w:rPr>
          <w:rFonts w:ascii="Calibri" w:hAnsi="Calibri"/>
          <w:color w:val="111111"/>
          <w:sz w:val="22"/>
        </w:rPr>
        <w:t xml:space="preserve"> aggressive buy-classified flow can coexist with a late sell-heavy tape and a higher close.</w:t>
      </w:r>
    </w:p>
    <w:p>
      <w:pPr/>
      <w:r>
        <w:rPr>
          <w:rFonts w:ascii="Calibri" w:hAnsi="Calibri"/>
          <w:b/>
          <w:color w:val="111111"/>
          <w:sz w:val="22"/>
        </w:rPr>
        <w:t>Reasonable inference:</w:t>
      </w:r>
      <w:r>
        <w:rPr>
          <w:rFonts w:ascii="Calibri" w:hAnsi="Calibri"/>
          <w:color w:val="111111"/>
          <w:sz w:val="22"/>
        </w:rPr>
        <w:t xml:space="preserve"> the market absorbed substantial offered supply.</w:t>
      </w:r>
    </w:p>
    <w:p>
      <w:pPr/>
      <w:r>
        <w:rPr>
          <w:rFonts w:ascii="Calibri" w:hAnsi="Calibri"/>
          <w:b/>
          <w:color w:val="111111"/>
          <w:sz w:val="22"/>
        </w:rPr>
        <w:t>Open hypothesis:</w:t>
      </w:r>
      <w:r>
        <w:rPr>
          <w:rFonts w:ascii="Calibri" w:hAnsi="Calibri"/>
          <w:color w:val="111111"/>
          <w:sz w:val="22"/>
        </w:rPr>
        <w:t xml:space="preserve"> dealer hedging, short-marked market-making, inventory transfers, settlement needs, or another concentrated source contributed to the late flow.</w:t>
      </w:r>
    </w:p>
    <w:p>
      <w:pPr/>
      <w:r>
        <w:rPr>
          <w:rFonts w:ascii="Calibri" w:hAnsi="Calibri"/>
          <w:b/>
          <w:color w:val="111111"/>
          <w:sz w:val="22"/>
        </w:rPr>
        <w:t>Not established:</w:t>
      </w:r>
      <w:r>
        <w:rPr>
          <w:rFonts w:ascii="Calibri" w:hAnsi="Calibri"/>
          <w:color w:val="111111"/>
          <w:sz w:val="22"/>
        </w:rPr>
        <w:t xml:space="preserve"> naked selling, a coordinated "ladder," or a specific participant.</w:t>
      </w:r>
    </w:p>
    <w:p>
      <w:pPr/>
      <w:r>
        <w:rPr>
          <w:rFonts w:ascii="Calibri" w:hAnsi="Calibri"/>
          <w:color w:val="111111"/>
          <w:sz w:val="22"/>
        </w:rPr>
        <w:t>The receipt needed is not another screenshot. It is the transaction lifecycle.</w:t>
      </w:r>
    </w:p>
    <w:p>
      <w:pPr>
        <w:pStyle w:val="Source"/>
        <w:keepLines/>
      </w:pPr>
      <w:r>
        <w:rPr>
          <w:rFonts w:ascii="Calibri" w:hAnsi="Calibri"/>
          <w:b/>
          <w:color w:val="626A73"/>
          <w:sz w:val="18"/>
        </w:rPr>
        <w:t>Key sources:</w:t>
      </w:r>
      <w:r>
        <w:rPr>
          <w:rFonts w:ascii="Calibri" w:hAnsi="Calibri"/>
          <w:color w:val="626A73"/>
          <w:sz w:val="18"/>
        </w:rPr>
        <w:t xml:space="preserve"> </w:t>
      </w:r>
      <w:hyperlink r:id="rId22">
        <w:r>
          <w:rPr>
            <w:rFonts w:ascii="Calibri" w:hAnsi="Calibri"/>
            <w:color w:val="2E74B5"/>
            <w:u w:val="single"/>
            <w:sz w:val="18"/>
            <w:szCs w:val="18"/>
          </w:rPr>
          <w:t>SEC Regulation SHO locate guidance</w:t>
        </w:r>
      </w:hyperlink>
      <w:r>
        <w:rPr>
          <w:rFonts w:ascii="Calibri" w:hAnsi="Calibri"/>
          <w:color w:val="626A73"/>
          <w:sz w:val="18"/>
        </w:rPr>
        <w:t xml:space="preserve">; </w:t>
      </w:r>
      <w:hyperlink r:id="rId23">
        <w:r>
          <w:rPr>
            <w:rFonts w:ascii="Calibri" w:hAnsi="Calibri"/>
            <w:color w:val="2E74B5"/>
            <w:u w:val="single"/>
            <w:sz w:val="18"/>
            <w:szCs w:val="18"/>
          </w:rPr>
          <w:t>SEC Regulation SHO overview</w:t>
        </w:r>
      </w:hyperlink>
      <w:r>
        <w:rPr>
          <w:rFonts w:ascii="Calibri" w:hAnsi="Calibri"/>
          <w:color w:val="626A73"/>
          <w:sz w:val="18"/>
        </w:rPr>
        <w:t>.</w:t>
      </w:r>
    </w:p>
    <w:p>
      <w:pPr>
        <w:pStyle w:val="Heading1"/>
        <w:keepNext/>
      </w:pPr>
      <w:r>
        <w:rPr>
          <w:rFonts w:ascii="Calibri" w:hAnsi="Calibri"/>
          <w:b/>
          <w:color w:val="2E74B5"/>
          <w:sz w:val="32"/>
        </w:rPr>
        <w:t>6. Institutional exposure: material, incomplete, and easy to misuse</w:t>
      </w:r>
    </w:p>
    <w:p>
      <w:pPr>
        <w:pStyle w:val="Heading2"/>
        <w:keepNext/>
      </w:pPr>
      <w:r>
        <w:rPr>
          <w:rFonts w:ascii="Calibri" w:hAnsi="Calibri"/>
          <w:b/>
          <w:color w:val="2E74B5"/>
          <w:sz w:val="26"/>
        </w:rPr>
        <w:t>Citadel Advisors in 2021</w:t>
      </w:r>
    </w:p>
    <w:p>
      <w:pPr/>
      <w:r>
        <w:rPr>
          <w:rFonts w:ascii="Calibri" w:hAnsi="Calibri"/>
          <w:color w:val="111111"/>
          <w:sz w:val="22"/>
        </w:rPr>
        <w:t>Form 13F reports held long positions. It does not report short stock or written options and does not net those exposures against the reported longs.</w:t>
      </w:r>
    </w:p>
    <w:tbl>
      <w:tblPr>
        <w:tblStyle w:val="TableGrid"/>
        <w:tblW w:type="dxa" w:w="9360"/>
        <w:jc w:val="left"/>
        <w:tblLayout w:type="fixed"/>
        <w:tblLook w:firstColumn="1" w:firstRow="1" w:lastColumn="0" w:lastRow="0" w:noHBand="0" w:noVBand="1" w:val="04A0"/>
        <w:tblInd w:type="dxa" w:w="120"/>
      </w:tblPr>
      <w:tblGrid>
        <w:gridCol w:w="2100"/>
        <w:gridCol w:w="2500"/>
        <w:gridCol w:w="2500"/>
        <w:gridCol w:w="2260"/>
      </w:tblGrid>
      <w:tr>
        <w:trPr>
          <w:cantSplit/>
          <w:trHeight w:hRule="auto"/>
          <w:tblHeader w:val="true"/>
        </w:trPr>
        <w:tc>
          <w:tcPr>
            <w:tcW w:type="dxa" w:w="21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Report date</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Long calls: underlying shares</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Long puts: underlying shares</w:t>
            </w:r>
          </w:p>
        </w:tc>
        <w:tc>
          <w:tcPr>
            <w:tcW w:type="dxa" w:w="22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Common shares</w:t>
            </w:r>
          </w:p>
        </w:tc>
      </w:tr>
      <w:tr>
        <w:trPr>
          <w:cantSplit/>
          <w:trHeight w:hRule="auto"/>
        </w:trPr>
        <w:tc>
          <w:tcPr>
            <w:tcW w:type="dxa" w:w="21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December 31, 2020</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1,008,100</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1,749,200</w:t>
            </w:r>
          </w:p>
        </w:tc>
        <w:tc>
          <w:tcPr>
            <w:tcW w:type="dxa" w:w="22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274,877</w:t>
            </w:r>
          </w:p>
        </w:tc>
      </w:tr>
      <w:tr>
        <w:trPr>
          <w:cantSplit/>
          <w:trHeight w:hRule="auto"/>
        </w:trPr>
        <w:tc>
          <w:tcPr>
            <w:tcW w:type="dxa" w:w="21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March 31, 2021</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4,110,000</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5,676,200</w:t>
            </w:r>
          </w:p>
        </w:tc>
        <w:tc>
          <w:tcPr>
            <w:tcW w:type="dxa" w:w="22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724,599</w:t>
            </w:r>
          </w:p>
        </w:tc>
      </w:tr>
      <w:tr>
        <w:trPr>
          <w:cantSplit/>
          <w:trHeight w:hRule="auto"/>
        </w:trPr>
        <w:tc>
          <w:tcPr>
            <w:tcW w:type="dxa" w:w="21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June 30, 2021</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5,965,900</w:t>
            </w:r>
          </w:p>
        </w:tc>
        <w:tc>
          <w:tcPr>
            <w:tcW w:type="dxa" w:w="2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8,406,600</w:t>
            </w:r>
          </w:p>
        </w:tc>
        <w:tc>
          <w:tcPr>
            <w:tcW w:type="dxa" w:w="22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right"/>
            </w:pPr>
            <w:r>
              <w:rPr>
                <w:rFonts w:ascii="Calibri" w:hAnsi="Calibri"/>
                <w:color w:val="111111"/>
                <w:sz w:val="17"/>
              </w:rPr>
              <w:t>136,003</w:t>
            </w:r>
          </w:p>
        </w:tc>
      </w:tr>
    </w:tbl>
    <w:p>
      <w:pPr>
        <w:spacing w:before="0" w:after="40" w:line="240" w:lineRule="auto"/>
      </w:pPr>
    </w:p>
    <w:p>
      <w:pPr/>
      <w:r>
        <w:rPr>
          <w:rFonts w:ascii="Calibri" w:hAnsi="Calibri"/>
          <w:color w:val="111111"/>
          <w:sz w:val="22"/>
        </w:rPr>
        <w:t>At June 30, the filing values were approximately $338.147 million for calls, $476.486 million for puts, and $7.709 million for common shares. The options represented 14.3725 million underlying shares, approximately 2.86% of AMC's June 2 shares outstanding. The long-put to long-call underlying-share ratio was approximately 1.41.</w:t>
      </w:r>
    </w:p>
    <w:p>
      <w:pPr/>
      <w:r>
        <w:rPr>
          <w:rFonts w:ascii="Calibri" w:hAnsi="Calibri"/>
          <w:color w:val="111111"/>
          <w:sz w:val="22"/>
        </w:rPr>
        <w:t>That is material exposure. It is not a net-short number. The filing omits written options, short stock, swaps, strikes, expirations, counterparties, and intra-quarter trades. A long put can be bearish or can hedge another position. A long call can be bullish or can hedge a short or written exposure.</w:t>
      </w:r>
    </w:p>
    <w:p>
      <w:pPr/>
      <w:r>
        <w:rPr>
          <w:rFonts w:ascii="Calibri" w:hAnsi="Calibri"/>
          <w:color w:val="111111"/>
          <w:sz w:val="22"/>
        </w:rPr>
        <w:t>The correct line is:</w:t>
      </w:r>
    </w:p>
    <w:p>
      <w:pPr>
        <w:pStyle w:val="Callout"/>
        <w:shd w:fill="F4F6F9"/>
        <w:keepLines/>
        <w:pBdr>
          <w:left w:val="single" w:sz="18" w:space="8" w:color="2E74B5"/>
        </w:pBdr>
      </w:pPr>
      <w:r>
        <w:rPr>
          <w:rFonts w:ascii="Calibri" w:hAnsi="Calibri"/>
          <w:b/>
          <w:color w:val="0B2545"/>
          <w:sz w:val="22"/>
        </w:rPr>
        <w:t>Citadel Advisors disclosed enough AMC options exposure to require a hedge reconstruction. Form 13F cannot tell us whether the combined book pushed the stock up, pushed it down, or mostly offset itself.</w:t>
      </w:r>
    </w:p>
    <w:p>
      <w:pPr>
        <w:pStyle w:val="Heading2"/>
        <w:keepNext/>
      </w:pPr>
      <w:r>
        <w:rPr>
          <w:rFonts w:ascii="Calibri" w:hAnsi="Calibri"/>
          <w:b/>
          <w:color w:val="2E74B5"/>
          <w:sz w:val="26"/>
        </w:rPr>
        <w:t>The current institutional echo</w:t>
      </w:r>
    </w:p>
    <w:p>
      <w:pPr/>
      <w:r>
        <w:rPr>
          <w:rFonts w:ascii="Calibri" w:hAnsi="Calibri"/>
          <w:color w:val="111111"/>
          <w:sz w:val="22"/>
        </w:rPr>
        <w:t>Current public snapshots show that options and large institutional ownership remain relevant to AMC:</w:t>
      </w:r>
    </w:p>
    <w:tbl>
      <w:tblPr>
        <w:tblStyle w:val="TableGrid"/>
        <w:tblW w:type="dxa" w:w="9360"/>
        <w:jc w:val="left"/>
        <w:tblLayout w:type="fixed"/>
        <w:tblLook w:firstColumn="1" w:firstRow="1" w:lastColumn="0" w:lastRow="0" w:noHBand="0" w:noVBand="1" w:val="04A0"/>
        <w:tblInd w:type="dxa" w:w="120"/>
      </w:tblPr>
      <w:tblGrid>
        <w:gridCol w:w="2300"/>
        <w:gridCol w:w="3500"/>
        <w:gridCol w:w="3560"/>
      </w:tblGrid>
      <w:tr>
        <w:trPr>
          <w:cantSplit/>
          <w:trHeight w:hRule="auto"/>
          <w:tblHeader w:val="true"/>
        </w:trPr>
        <w:tc>
          <w:tcPr>
            <w:tcW w:type="dxa" w:w="23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Public snapshot</w:t>
            </w:r>
          </w:p>
        </w:tc>
        <w:tc>
          <w:tcPr>
            <w:tcW w:type="dxa" w:w="3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Reported position</w:t>
            </w:r>
          </w:p>
        </w:tc>
        <w:tc>
          <w:tcPr>
            <w:tcW w:type="dxa" w:w="35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What it does not show</w:t>
            </w:r>
          </w:p>
        </w:tc>
      </w:tr>
      <w:tr>
        <w:trPr>
          <w:cantSplit/>
          <w:trHeight w:hRule="auto"/>
        </w:trPr>
        <w:tc>
          <w:tcPr>
            <w:tcW w:type="dxa" w:w="23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Fintel institutional options summary</w:t>
            </w:r>
          </w:p>
        </w:tc>
        <w:tc>
          <w:tcPr>
            <w:tcW w:type="dxa" w:w="3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Calls: approximately $1.403 million; puts: approximately $5.815 million; displayed call/put value ratio 0.24.</w:t>
            </w:r>
          </w:p>
        </w:tc>
        <w:tc>
          <w:tcPr>
            <w:tcW w:type="dxa" w:w="35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Complete books, written options, swaps, strikes, expirations, or net delta.</w:t>
            </w:r>
          </w:p>
        </w:tc>
      </w:tr>
      <w:tr>
        <w:trPr>
          <w:cantSplit/>
          <w:trHeight w:hRule="auto"/>
        </w:trPr>
        <w:tc>
          <w:tcPr>
            <w:tcW w:type="dxa" w:w="23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Susquehanna filing effective March 31, 2026</w:t>
            </w:r>
          </w:p>
        </w:tc>
        <w:tc>
          <w:tcPr>
            <w:tcW w:type="dxa" w:w="3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3,332,674 common shares; calls representing 781,900 underlying shares; puts representing 758,800 underlying shares.</w:t>
            </w:r>
          </w:p>
        </w:tc>
        <w:tc>
          <w:tcPr>
            <w:tcW w:type="dxa" w:w="35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Dealer/customer separation, written side, or hedge trades.</w:t>
            </w:r>
          </w:p>
        </w:tc>
      </w:tr>
      <w:tr>
        <w:trPr>
          <w:cantSplit/>
          <w:trHeight w:hRule="auto"/>
        </w:trPr>
        <w:tc>
          <w:tcPr>
            <w:tcW w:type="dxa" w:w="23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Sculptor Capital snapshot</w:t>
            </w:r>
          </w:p>
        </w:tc>
        <w:tc>
          <w:tcPr>
            <w:tcW w:type="dxa" w:w="3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Puts representing 2,029,400 underlying shares, the largest displayed institutional put position in the snapshot.</w:t>
            </w:r>
          </w:p>
        </w:tc>
        <w:tc>
          <w:tcPr>
            <w:tcW w:type="dxa" w:w="35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rest of the portfolio and economic purpose.</w:t>
            </w:r>
          </w:p>
        </w:tc>
      </w:tr>
    </w:tbl>
    <w:p>
      <w:pPr>
        <w:spacing w:before="0" w:after="40" w:line="240" w:lineRule="auto"/>
      </w:pPr>
    </w:p>
    <w:p>
      <w:pPr/>
      <w:r>
        <w:rPr>
          <w:rFonts w:ascii="Calibri" w:hAnsi="Calibri"/>
          <w:color w:val="111111"/>
          <w:sz w:val="22"/>
        </w:rPr>
        <w:t>These current figures are an echo of the transparency problem, not a substitute for the June 2021 ledger.</w:t>
      </w:r>
    </w:p>
    <w:p>
      <w:pPr>
        <w:pStyle w:val="Source"/>
        <w:keepLines/>
      </w:pPr>
      <w:r>
        <w:rPr>
          <w:rFonts w:ascii="Calibri" w:hAnsi="Calibri"/>
          <w:b/>
          <w:color w:val="626A73"/>
          <w:sz w:val="18"/>
        </w:rPr>
        <w:t>Key sources:</w:t>
      </w:r>
      <w:r>
        <w:rPr>
          <w:rFonts w:ascii="Calibri" w:hAnsi="Calibri"/>
          <w:color w:val="626A73"/>
          <w:sz w:val="18"/>
        </w:rPr>
        <w:t xml:space="preserve"> </w:t>
      </w:r>
      <w:hyperlink r:id="rId24">
        <w:r>
          <w:rPr>
            <w:rFonts w:ascii="Calibri" w:hAnsi="Calibri"/>
            <w:color w:val="2E74B5"/>
            <w:u w:val="single"/>
            <w:sz w:val="18"/>
            <w:szCs w:val="18"/>
          </w:rPr>
          <w:t>Citadel Q2 2021 Form 13F</w:t>
        </w:r>
      </w:hyperlink>
      <w:r>
        <w:rPr>
          <w:rFonts w:ascii="Calibri" w:hAnsi="Calibri"/>
          <w:color w:val="626A73"/>
          <w:sz w:val="18"/>
        </w:rPr>
        <w:t xml:space="preserve">; </w:t>
      </w:r>
      <w:hyperlink r:id="rId25">
        <w:r>
          <w:rPr>
            <w:rFonts w:ascii="Calibri" w:hAnsi="Calibri"/>
            <w:color w:val="2E74B5"/>
            <w:u w:val="single"/>
            <w:sz w:val="18"/>
            <w:szCs w:val="18"/>
          </w:rPr>
          <w:t>SEC Form 13F FAQ</w:t>
        </w:r>
      </w:hyperlink>
      <w:r>
        <w:rPr>
          <w:rFonts w:ascii="Calibri" w:hAnsi="Calibri"/>
          <w:color w:val="626A73"/>
          <w:sz w:val="18"/>
        </w:rPr>
        <w:t xml:space="preserve">; </w:t>
      </w:r>
      <w:hyperlink r:id="rId26">
        <w:r>
          <w:rPr>
            <w:rFonts w:ascii="Calibri" w:hAnsi="Calibri"/>
            <w:color w:val="2E74B5"/>
            <w:u w:val="single"/>
            <w:sz w:val="18"/>
            <w:szCs w:val="18"/>
          </w:rPr>
          <w:t>Fintel AMC institutional ownership</w:t>
        </w:r>
      </w:hyperlink>
      <w:r>
        <w:rPr>
          <w:rFonts w:ascii="Calibri" w:hAnsi="Calibri"/>
          <w:color w:val="626A73"/>
          <w:sz w:val="18"/>
        </w:rPr>
        <w:t xml:space="preserve">; </w:t>
      </w:r>
      <w:hyperlink r:id="rId27">
        <w:r>
          <w:rPr>
            <w:rFonts w:ascii="Calibri" w:hAnsi="Calibri"/>
            <w:color w:val="2E74B5"/>
            <w:u w:val="single"/>
            <w:sz w:val="18"/>
            <w:szCs w:val="18"/>
          </w:rPr>
          <w:t>Fintel Susquehanna AMC filing summary</w:t>
        </w:r>
      </w:hyperlink>
      <w:r>
        <w:rPr>
          <w:rFonts w:ascii="Calibri" w:hAnsi="Calibri"/>
          <w:color w:val="626A73"/>
          <w:sz w:val="18"/>
        </w:rPr>
        <w:t>.</w:t>
      </w:r>
    </w:p>
    <w:p>
      <w:pPr>
        <w:pStyle w:val="Heading1"/>
        <w:keepNext/>
      </w:pPr>
      <w:r>
        <w:rPr>
          <w:rFonts w:ascii="Calibri" w:hAnsi="Calibri"/>
          <w:b/>
          <w:color w:val="2E74B5"/>
          <w:sz w:val="32"/>
        </w:rPr>
        <w:t>7. BlackRock: the near-match is real; the lending conclusion is not</w:t>
      </w:r>
    </w:p>
    <w:p>
      <w:pPr/>
      <w:r>
        <w:rPr>
          <w:rFonts w:ascii="Calibri" w:hAnsi="Calibri"/>
          <w:color w:val="111111"/>
          <w:sz w:val="22"/>
        </w:rPr>
        <w:t>BlackRock's July 27, 2026 Schedule 13G amendment reported beneficial ownership of 48,917,321 AMC shares as of June 30, 2026, equal to 5.5% of the class. It reported sole voting power over 48,036,476 shares and sole dispositive power over 48,917,321 shares.</w:t>
      </w:r>
    </w:p>
    <w:p>
      <w:pPr/>
      <w:r>
        <w:rPr>
          <w:rFonts w:ascii="Calibri" w:hAnsi="Calibri"/>
          <w:color w:val="111111"/>
          <w:sz w:val="22"/>
        </w:rPr>
        <w:t>The prior filing reported 25,921,107 shares and 7.2%. The share count therefore increased by 22,996,214 shares, or approximately 88.72%, while the ownership percentage fell from 7.2% to 5.5%. Both can be true because AMC's total share count expanded.</w:t>
      </w:r>
    </w:p>
    <w:p>
      <w:pPr/>
      <w:r>
        <w:rPr>
          <w:rFonts w:ascii="Calibri" w:hAnsi="Calibri"/>
          <w:color w:val="111111"/>
          <w:sz w:val="22"/>
        </w:rPr>
        <w:t>The June 30, 2026 short-interest snapshot was 52,940,300 shares. On the same date:</w:t>
      </w:r>
    </w:p>
    <w:p>
      <w:pPr>
        <w:pStyle w:val="AMCBullet"/>
        <w:numPr>
          <w:ilvl w:val="0"/>
          <w:numId w:val="14"/>
        </w:numPr>
      </w:pPr>
      <w:r>
        <w:rPr>
          <w:rFonts w:ascii="Calibri" w:hAnsi="Calibri"/>
          <w:color w:val="111111"/>
          <w:sz w:val="22"/>
        </w:rPr>
        <w:t>BlackRock beneficial ownership equaled approximately 92.4% of reported short interest; and</w:t>
      </w:r>
    </w:p>
    <w:p>
      <w:pPr>
        <w:pStyle w:val="AMCBullet"/>
        <w:numPr>
          <w:ilvl w:val="0"/>
          <w:numId w:val="14"/>
        </w:numPr>
      </w:pPr>
      <w:r>
        <w:rPr>
          <w:rFonts w:ascii="Calibri" w:hAnsi="Calibri"/>
          <w:color w:val="111111"/>
          <w:sz w:val="22"/>
        </w:rPr>
        <w:t>reported short interest exceeded BlackRock's position by 4,022,979 shares.</w:t>
      </w:r>
    </w:p>
    <w:p>
      <w:pPr/>
      <w:r>
        <w:rPr>
          <w:rFonts w:ascii="Calibri" w:hAnsi="Calibri"/>
          <w:color w:val="111111"/>
          <w:sz w:val="22"/>
        </w:rPr>
        <w:t>The July 15 short-interest figure of 49,558,149 is only 640,828 shares above BlackRock's reported position, but that is a mismatched-date comparison. It is visually striking and analytically weaker than the matched June 30 comparison.</w:t>
      </w:r>
    </w:p>
    <w:p>
      <w:pPr/>
      <w:r>
        <w:rPr>
          <w:rFonts w:ascii="Calibri" w:hAnsi="Calibri"/>
          <w:color w:val="111111"/>
          <w:sz w:val="22"/>
        </w:rPr>
        <w:t>What does the 13G prove? BlackRock beneficially owned a large block and materially increased the number of AMC shares reported.</w:t>
      </w:r>
    </w:p>
    <w:p>
      <w:pPr/>
      <w:r>
        <w:rPr>
          <w:rFonts w:ascii="Calibri" w:hAnsi="Calibri"/>
          <w:color w:val="111111"/>
          <w:sz w:val="22"/>
        </w:rPr>
        <w:t>What does it not prove? The filing is not a securities-lending report. It does not state how many AMC shares were on loan, identify borrowers, show collateral, provide loan dates, or connect any shares to a short position. BlackRock and its funds can participate in securities lending, but that general capability does not convert the 13G share count into an AMC loan ledger.</w:t>
      </w:r>
    </w:p>
    <w:p>
      <w:pPr/>
      <w:r>
        <w:rPr>
          <w:rFonts w:ascii="Calibri" w:hAnsi="Calibri"/>
          <w:color w:val="111111"/>
          <w:sz w:val="22"/>
        </w:rPr>
        <w:t>Therefore, the show should say:</w:t>
      </w:r>
    </w:p>
    <w:p>
      <w:pPr>
        <w:pStyle w:val="Callout"/>
        <w:shd w:fill="F4F6F9"/>
        <w:keepLines/>
        <w:pBdr>
          <w:left w:val="single" w:sz="18" w:space="8" w:color="2E74B5"/>
        </w:pBdr>
      </w:pPr>
      <w:r>
        <w:rPr>
          <w:rFonts w:ascii="Calibri" w:hAnsi="Calibri"/>
          <w:b/>
          <w:color w:val="0B2545"/>
          <w:sz w:val="22"/>
        </w:rPr>
        <w:t>The near-match is real enough to demand the lending ledger. It is not proof that BlackRock lent all, most, or any specified number of those AMC shares.</w:t>
      </w:r>
    </w:p>
    <w:p>
      <w:pPr/>
      <w:r>
        <w:rPr>
          <w:rFonts w:ascii="Calibri" w:hAnsi="Calibri"/>
          <w:color w:val="111111"/>
          <w:sz w:val="22"/>
        </w:rPr>
        <w:t>The records required are fund-level holdings, agent-lending files, daily quantities on loan, borrower identities, recalls, collateral and rebate terms, and DTC/prime-broker settlement entries.</w:t>
      </w:r>
    </w:p>
    <w:p>
      <w:pPr>
        <w:pStyle w:val="Source"/>
        <w:keepLines/>
      </w:pPr>
      <w:r>
        <w:rPr>
          <w:rFonts w:ascii="Calibri" w:hAnsi="Calibri"/>
          <w:b/>
          <w:color w:val="626A73"/>
          <w:sz w:val="18"/>
        </w:rPr>
        <w:t>Key sources:</w:t>
      </w:r>
      <w:r>
        <w:rPr>
          <w:rFonts w:ascii="Calibri" w:hAnsi="Calibri"/>
          <w:color w:val="626A73"/>
          <w:sz w:val="18"/>
        </w:rPr>
        <w:t xml:space="preserve"> </w:t>
      </w:r>
      <w:hyperlink r:id="rId28">
        <w:r>
          <w:rPr>
            <w:rFonts w:ascii="Calibri" w:hAnsi="Calibri"/>
            <w:color w:val="2E74B5"/>
            <w:u w:val="single"/>
            <w:sz w:val="18"/>
            <w:szCs w:val="18"/>
          </w:rPr>
          <w:t>BlackRock July 27, 2026 AMC Schedule 13G/A</w:t>
        </w:r>
      </w:hyperlink>
      <w:r>
        <w:rPr>
          <w:rFonts w:ascii="Calibri" w:hAnsi="Calibri"/>
          <w:color w:val="626A73"/>
          <w:sz w:val="18"/>
        </w:rPr>
        <w:t xml:space="preserve">; </w:t>
      </w:r>
      <w:hyperlink r:id="rId29">
        <w:r>
          <w:rPr>
            <w:rFonts w:ascii="Calibri" w:hAnsi="Calibri"/>
            <w:color w:val="2E74B5"/>
            <w:u w:val="single"/>
            <w:sz w:val="18"/>
            <w:szCs w:val="18"/>
          </w:rPr>
          <w:t>prior BlackRock AMC filing</w:t>
        </w:r>
      </w:hyperlink>
      <w:r>
        <w:rPr>
          <w:rFonts w:ascii="Calibri" w:hAnsi="Calibri"/>
          <w:color w:val="626A73"/>
          <w:sz w:val="18"/>
        </w:rPr>
        <w:t xml:space="preserve">; </w:t>
      </w:r>
      <w:hyperlink r:id="rId30">
        <w:r>
          <w:rPr>
            <w:rFonts w:ascii="Calibri" w:hAnsi="Calibri"/>
            <w:color w:val="2E74B5"/>
            <w:u w:val="single"/>
            <w:sz w:val="18"/>
            <w:szCs w:val="18"/>
          </w:rPr>
          <w:t>current NYSE-sourced AMC short-interest summary</w:t>
        </w:r>
      </w:hyperlink>
      <w:r>
        <w:rPr>
          <w:rFonts w:ascii="Calibri" w:hAnsi="Calibri"/>
          <w:color w:val="626A73"/>
          <w:sz w:val="18"/>
        </w:rPr>
        <w:t>.</w:t>
      </w:r>
    </w:p>
    <w:p>
      <w:pPr>
        <w:pStyle w:val="Heading1"/>
        <w:keepNext/>
      </w:pPr>
      <w:r>
        <w:rPr>
          <w:rFonts w:ascii="Calibri" w:hAnsi="Calibri"/>
          <w:b/>
          <w:color w:val="2E74B5"/>
          <w:sz w:val="32"/>
        </w:rPr>
        <w:t>8. Share count changes the squeeze math; it does not settle the question</w:t>
      </w:r>
    </w:p>
    <w:p>
      <w:pPr/>
      <w:r>
        <w:rPr>
          <w:rFonts w:ascii="Calibri" w:hAnsi="Calibri"/>
          <w:color w:val="111111"/>
          <w:sz w:val="22"/>
        </w:rPr>
        <w:t>The argument that "too many shares exist, therefore AMC cannot squeeze" skips several steps.</w:t>
      </w:r>
    </w:p>
    <w:p>
      <w:pPr/>
      <w:r>
        <w:rPr>
          <w:rFonts w:ascii="Calibri" w:hAnsi="Calibri"/>
          <w:color w:val="111111"/>
          <w:sz w:val="22"/>
        </w:rPr>
        <w:t>More outstanding shares can:</w:t>
      </w:r>
    </w:p>
    <w:p>
      <w:pPr>
        <w:pStyle w:val="AMCBullet"/>
        <w:numPr>
          <w:ilvl w:val="0"/>
          <w:numId w:val="15"/>
        </w:numPr>
      </w:pPr>
      <w:r>
        <w:rPr>
          <w:rFonts w:ascii="Calibri" w:hAnsi="Calibri"/>
          <w:color w:val="111111"/>
          <w:sz w:val="22"/>
        </w:rPr>
        <w:t>reduce short interest as a percentage of the float even when short shares are unchanged;</w:t>
      </w:r>
    </w:p>
    <w:p>
      <w:pPr>
        <w:pStyle w:val="AMCBullet"/>
        <w:numPr>
          <w:ilvl w:val="0"/>
          <w:numId w:val="15"/>
        </w:numPr>
      </w:pPr>
      <w:r>
        <w:rPr>
          <w:rFonts w:ascii="Calibri" w:hAnsi="Calibri"/>
          <w:color w:val="111111"/>
          <w:sz w:val="22"/>
        </w:rPr>
        <w:t>create new inventory that can be sold, lent, or delivered;</w:t>
      </w:r>
    </w:p>
    <w:p>
      <w:pPr>
        <w:pStyle w:val="AMCBullet"/>
        <w:numPr>
          <w:ilvl w:val="0"/>
          <w:numId w:val="15"/>
        </w:numPr>
      </w:pPr>
      <w:r>
        <w:rPr>
          <w:rFonts w:ascii="Calibri" w:hAnsi="Calibri"/>
          <w:color w:val="111111"/>
          <w:sz w:val="22"/>
        </w:rPr>
        <w:t>allow convertible or exchangeable-note hedges to be closed with newly issued shares;</w:t>
      </w:r>
    </w:p>
    <w:p>
      <w:pPr>
        <w:pStyle w:val="AMCBullet"/>
        <w:numPr>
          <w:ilvl w:val="0"/>
          <w:numId w:val="15"/>
        </w:numPr>
      </w:pPr>
      <w:r>
        <w:rPr>
          <w:rFonts w:ascii="Calibri" w:hAnsi="Calibri"/>
          <w:color w:val="111111"/>
          <w:sz w:val="22"/>
        </w:rPr>
        <w:t>reduce scarcity and borrow pressure; and</w:t>
      </w:r>
    </w:p>
    <w:p>
      <w:pPr>
        <w:pStyle w:val="AMCBullet"/>
        <w:numPr>
          <w:ilvl w:val="0"/>
          <w:numId w:val="15"/>
        </w:numPr>
      </w:pPr>
      <w:r>
        <w:rPr>
          <w:rFonts w:ascii="Calibri" w:hAnsi="Calibri"/>
          <w:color w:val="111111"/>
          <w:sz w:val="22"/>
        </w:rPr>
        <w:t>require more demand to move the same percentage of the company.</w:t>
      </w:r>
    </w:p>
    <w:p>
      <w:pPr/>
      <w:r>
        <w:rPr>
          <w:rFonts w:ascii="Calibri" w:hAnsi="Calibri"/>
          <w:color w:val="111111"/>
          <w:sz w:val="22"/>
        </w:rPr>
        <w:t>Those are real effects. They are not proof that a squeeze is impossible.</w:t>
      </w:r>
    </w:p>
    <w:p>
      <w:pPr/>
      <w:r>
        <w:rPr>
          <w:rFonts w:ascii="Calibri" w:hAnsi="Calibri"/>
          <w:color w:val="111111"/>
          <w:sz w:val="22"/>
        </w:rPr>
        <w:t>A squeeze depends on the relationship among open short exposure, derivative exposure, borrow availability and cost, liquidity, call positioning, dealer hedging, price movement, risk limits, collateral, and the speed at which positions must change. A larger share count can make the conditions harder. It cannot reveal hidden derivatives, the lender concentration, dealer gamma, or the willingness and ability of participants to carry risk.</w:t>
      </w:r>
    </w:p>
    <w:p>
      <w:pPr/>
      <w:r>
        <w:rPr>
          <w:rFonts w:ascii="Calibri" w:hAnsi="Calibri"/>
          <w:color w:val="111111"/>
          <w:sz w:val="22"/>
        </w:rPr>
        <w:t>Current AMC data illustrate the distinction. Reported short interest fell sharply in 2026 while AMC delivered approximately 142.1 million new shares to exchangeable-note holders. The largest reduction - approximately 42.94 million shares from April 30 to May 15 - overlapped that delivery window. This creates a strong reconciliation hypothesis: recipients that had shorted AMC as a hedge could use newly delivered shares to close or net those shorts without equivalent open-market buying.</w:t>
      </w:r>
    </w:p>
    <w:p>
      <w:pPr/>
      <w:r>
        <w:rPr>
          <w:rFonts w:ascii="Calibri" w:hAnsi="Calibri"/>
          <w:color w:val="111111"/>
          <w:sz w:val="22"/>
        </w:rPr>
        <w:t>Public filings do not identify which holders had which hedges or what they did with the delivered shares. The mechanism is plausible and the timing is documented; the participant-level transaction is not.</w:t>
      </w:r>
    </w:p>
    <w:p>
      <w:pPr/>
      <w:r>
        <w:rPr>
          <w:rFonts w:ascii="Calibri" w:hAnsi="Calibri"/>
          <w:color w:val="111111"/>
          <w:sz w:val="22"/>
        </w:rPr>
        <w:t>The honest answer to "will AMC squeeze?" is that the public record cannot promise it and cannot rule it out merely by pointing to the share count.</w:t>
      </w:r>
    </w:p>
    <w:p>
      <w:pPr>
        <w:pStyle w:val="Heading1"/>
        <w:keepNext/>
      </w:pPr>
      <w:r>
        <w:rPr>
          <w:rFonts w:ascii="Calibri" w:hAnsi="Calibri"/>
          <w:b/>
          <w:color w:val="2E74B5"/>
          <w:sz w:val="32"/>
        </w:rPr>
        <w:t>9. The anti-options narrative</w:t>
      </w:r>
    </w:p>
    <w:p>
      <w:pPr/>
      <w:r>
        <w:rPr>
          <w:rFonts w:ascii="Calibri" w:hAnsi="Calibri"/>
          <w:color w:val="111111"/>
          <w:sz w:val="22"/>
        </w:rPr>
        <w:t>Public AMC discussions after June contain repeated versions of the same message: buy shares, not options; options are a trap; stop gambling on weeklies; market makers control max pain; options feed the enemy.</w:t>
      </w:r>
    </w:p>
    <w:p>
      <w:pPr/>
      <w:r>
        <w:rPr>
          <w:rFonts w:ascii="Calibri" w:hAnsi="Calibri"/>
          <w:color w:val="111111"/>
          <w:sz w:val="22"/>
        </w:rPr>
        <w:t>Representative public examples include:</w:t>
      </w:r>
    </w:p>
    <w:tbl>
      <w:tblPr>
        <w:tblStyle w:val="TableGrid"/>
        <w:tblW w:type="dxa" w:w="9360"/>
        <w:jc w:val="left"/>
        <w:tblLayout w:type="fixed"/>
        <w:tblLook w:firstColumn="1" w:firstRow="1" w:lastColumn="0" w:lastRow="0" w:noHBand="0" w:noVBand="1" w:val="04A0"/>
        <w:tblInd w:type="dxa" w:w="120"/>
      </w:tblPr>
      <w:tblGrid>
        <w:gridCol w:w="1550"/>
        <w:gridCol w:w="3350"/>
        <w:gridCol w:w="4460"/>
      </w:tblGrid>
      <w:tr>
        <w:trPr>
          <w:cantSplit/>
          <w:trHeight w:hRule="auto"/>
          <w:tblHeader w:val="true"/>
        </w:trPr>
        <w:tc>
          <w:tcPr>
            <w:tcW w:type="dxa" w:w="1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Period</w:t>
            </w:r>
          </w:p>
        </w:tc>
        <w:tc>
          <w:tcPr>
            <w:tcW w:type="dxa" w:w="33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Public message</w:t>
            </w:r>
          </w:p>
        </w:tc>
        <w:tc>
          <w:tcPr>
            <w:tcW w:type="dxa" w:w="4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What it proves</w:t>
            </w:r>
          </w:p>
        </w:tc>
      </w:tr>
      <w:tr>
        <w:trPr>
          <w:cantSplit/>
          <w:trHeight w:hRule="auto"/>
        </w:trPr>
        <w:tc>
          <w:tcPr>
            <w:tcW w:type="dxa" w:w="1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July 2021</w:t>
            </w:r>
          </w:p>
        </w:tc>
        <w:tc>
          <w:tcPr>
            <w:tcW w:type="dxa" w:w="33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An r/amcstock thread included the comment "Fidelity - buy shares not options - hold."</w:t>
            </w:r>
          </w:p>
        </w:tc>
        <w:tc>
          <w:tcPr>
            <w:tcW w:type="dxa" w:w="4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shares-over-options message was present in AMC community discussion soon after the run.</w:t>
            </w:r>
          </w:p>
        </w:tc>
      </w:tr>
      <w:tr>
        <w:trPr>
          <w:cantSplit/>
          <w:trHeight w:hRule="auto"/>
        </w:trPr>
        <w:tc>
          <w:tcPr>
            <w:tcW w:type="dxa" w:w="1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October 2021</w:t>
            </w:r>
          </w:p>
        </w:tc>
        <w:tc>
          <w:tcPr>
            <w:tcW w:type="dxa" w:w="33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An "option trap" discussion included "Everyone need to STOP ... WITH OPTIONS," "apes don't buy options," and several buy-and-hold responses.</w:t>
            </w:r>
          </w:p>
        </w:tc>
        <w:tc>
          <w:tcPr>
            <w:tcW w:type="dxa" w:w="4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Options avoidance and hostility were explicit, but the thread also contained disagreement and users attributing the June run to delta hedging.</w:t>
            </w:r>
          </w:p>
        </w:tc>
      </w:tr>
      <w:tr>
        <w:trPr>
          <w:cantSplit/>
          <w:trHeight w:hRule="auto"/>
        </w:trPr>
        <w:tc>
          <w:tcPr>
            <w:tcW w:type="dxa" w:w="1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Later AMC discussions</w:t>
            </w:r>
          </w:p>
        </w:tc>
        <w:tc>
          <w:tcPr>
            <w:tcW w:type="dxa" w:w="33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Repeated warnings framed options as traps and share buying as the only legitimate participation.</w:t>
            </w:r>
          </w:p>
        </w:tc>
        <w:tc>
          <w:tcPr>
            <w:tcW w:type="dxa" w:w="44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narrative persisted; a collection of posts is not a survey of the entire shareholder base.</w:t>
            </w:r>
          </w:p>
        </w:tc>
      </w:tr>
    </w:tbl>
    <w:p>
      <w:pPr>
        <w:spacing w:before="0" w:after="40" w:line="240" w:lineRule="auto"/>
      </w:pPr>
    </w:p>
    <w:p>
      <w:pPr/>
      <w:r>
        <w:rPr>
          <w:rFonts w:ascii="Calibri" w:hAnsi="Calibri"/>
          <w:color w:val="111111"/>
          <w:sz w:val="22"/>
        </w:rPr>
        <w:t>There were legitimate reasons for caution. Short-dated options can lose value rapidly through time decay and volatility compression. Out-of-the-money calls can expire worthless. High implied volatility makes contracts expensive. A trader can be directionally correct and still lose money. Some anti-options posts were likely sincere risk warnings, not coordinated messaging.</w:t>
      </w:r>
    </w:p>
    <w:p>
      <w:pPr/>
      <w:r>
        <w:rPr>
          <w:rFonts w:ascii="Calibri" w:hAnsi="Calibri"/>
          <w:color w:val="111111"/>
          <w:sz w:val="22"/>
        </w:rPr>
        <w:t>The investigative issue is different: risk education hardened into a taboo. Discussion of the options chain, delta, gamma, dealer hedging, strike concentration, and expiration effects was sometimes treated as disloyalty. That matters because June itself cannot be understood without those subjects.</w:t>
      </w:r>
    </w:p>
    <w:p>
      <w:pPr>
        <w:pStyle w:val="Heading2"/>
        <w:keepNext/>
      </w:pPr>
      <w:r>
        <w:rPr>
          <w:rFonts w:ascii="Calibri" w:hAnsi="Calibri"/>
          <w:b/>
          <w:color w:val="2E74B5"/>
          <w:sz w:val="26"/>
        </w:rPr>
        <w:t>What may have happened when retail stepped away</w:t>
      </w:r>
    </w:p>
    <w:p>
      <w:pPr/>
      <w:r>
        <w:rPr>
          <w:rFonts w:ascii="Calibri" w:hAnsi="Calibri"/>
          <w:color w:val="111111"/>
          <w:sz w:val="22"/>
        </w:rPr>
        <w:t>If retail call purchases fell materially after June, several effects are plausible:</w:t>
      </w:r>
    </w:p>
    <w:p>
      <w:pPr>
        <w:pStyle w:val="AMCBullet"/>
        <w:numPr>
          <w:ilvl w:val="0"/>
          <w:numId w:val="16"/>
        </w:numPr>
      </w:pPr>
      <w:r>
        <w:rPr>
          <w:rFonts w:ascii="Calibri" w:hAnsi="Calibri"/>
          <w:color w:val="111111"/>
          <w:sz w:val="22"/>
        </w:rPr>
        <w:t>dealers may have written fewer calls and needed less stock to hedge them;</w:t>
      </w:r>
    </w:p>
    <w:p>
      <w:pPr>
        <w:pStyle w:val="AMCBullet"/>
        <w:numPr>
          <w:ilvl w:val="0"/>
          <w:numId w:val="16"/>
        </w:numPr>
      </w:pPr>
      <w:r>
        <w:rPr>
          <w:rFonts w:ascii="Calibri" w:hAnsi="Calibri"/>
          <w:color w:val="111111"/>
          <w:sz w:val="22"/>
        </w:rPr>
        <w:t>closing call positions may have reduced existing hedge demand;</w:t>
      </w:r>
    </w:p>
    <w:p>
      <w:pPr>
        <w:pStyle w:val="AMCBullet"/>
        <w:numPr>
          <w:ilvl w:val="0"/>
          <w:numId w:val="16"/>
        </w:numPr>
      </w:pPr>
      <w:r>
        <w:rPr>
          <w:rFonts w:ascii="Calibri" w:hAnsi="Calibri"/>
          <w:color w:val="111111"/>
          <w:sz w:val="22"/>
        </w:rPr>
        <w:t>lower call demand and lower implied volatility may have weakened positive feedback around key strikes;</w:t>
      </w:r>
    </w:p>
    <w:p>
      <w:pPr>
        <w:pStyle w:val="AMCBullet"/>
        <w:numPr>
          <w:ilvl w:val="0"/>
          <w:numId w:val="16"/>
        </w:numPr>
      </w:pPr>
      <w:r>
        <w:rPr>
          <w:rFonts w:ascii="Calibri" w:hAnsi="Calibri"/>
          <w:color w:val="111111"/>
          <w:sz w:val="22"/>
        </w:rPr>
        <w:t>the stock could become more dependent on direct share demand, covering, institutional flow, or company-specific news; and</w:t>
      </w:r>
    </w:p>
    <w:p>
      <w:pPr>
        <w:pStyle w:val="AMCBullet"/>
        <w:numPr>
          <w:ilvl w:val="0"/>
          <w:numId w:val="16"/>
        </w:numPr>
      </w:pPr>
      <w:r>
        <w:rPr>
          <w:rFonts w:ascii="Calibri" w:hAnsi="Calibri"/>
          <w:color w:val="111111"/>
          <w:sz w:val="22"/>
        </w:rPr>
        <w:t>participants already short or negatively positioned could face less options-driven pressure.</w:t>
      </w:r>
    </w:p>
    <w:p>
      <w:pPr/>
      <w:r>
        <w:rPr>
          <w:rFonts w:ascii="Calibri" w:hAnsi="Calibri"/>
          <w:color w:val="111111"/>
          <w:sz w:val="22"/>
        </w:rPr>
        <w:t>This is a market-structure hypothesis, not an instruction to trade options. It also cannot be proved with screenshots and slogans. The necessary dataset would identify option series, customer buys and sells, opening and closing status, account class, market-maker counterparty, implied volatility, open interest, dealer net gamma, and corresponding stock hedges.</w:t>
      </w:r>
    </w:p>
    <w:p>
      <w:pPr/>
      <w:r>
        <w:t>The public posts establish the narrative. Exchange and OPRA audit data, broker order records, OCC positions, and dealer books would establish its measurable market consequence. June options order lifecycles cannot be recovered from CAT because options reporting did not begin until December 13, 2021.</w:t>
      </w:r>
    </w:p>
    <w:p>
      <w:pPr>
        <w:pStyle w:val="Source"/>
        <w:keepLines/>
      </w:pPr>
      <w:r>
        <w:rPr>
          <w:rFonts w:ascii="Calibri" w:hAnsi="Calibri"/>
          <w:b/>
          <w:color w:val="626A73"/>
          <w:sz w:val="18"/>
        </w:rPr>
        <w:t>Representative sources:</w:t>
      </w:r>
      <w:r>
        <w:rPr>
          <w:rFonts w:ascii="Calibri" w:hAnsi="Calibri"/>
          <w:color w:val="626A73"/>
          <w:sz w:val="18"/>
        </w:rPr>
        <w:t xml:space="preserve"> </w:t>
      </w:r>
      <w:hyperlink r:id="rId31">
        <w:r>
          <w:rPr>
            <w:rFonts w:ascii="Calibri" w:hAnsi="Calibri"/>
            <w:color w:val="2E74B5"/>
            <w:u w:val="single"/>
            <w:sz w:val="18"/>
            <w:szCs w:val="18"/>
          </w:rPr>
          <w:t>July 2021 r/amcstock discussion</w:t>
        </w:r>
      </w:hyperlink>
      <w:r>
        <w:rPr>
          <w:rFonts w:ascii="Calibri" w:hAnsi="Calibri"/>
          <w:color w:val="626A73"/>
          <w:sz w:val="18"/>
        </w:rPr>
        <w:t xml:space="preserve">; </w:t>
      </w:r>
      <w:hyperlink r:id="rId32">
        <w:r>
          <w:rPr>
            <w:rFonts w:ascii="Calibri" w:hAnsi="Calibri"/>
            <w:color w:val="2E74B5"/>
            <w:u w:val="single"/>
            <w:sz w:val="18"/>
            <w:szCs w:val="18"/>
          </w:rPr>
          <w:t>October 2021 r/amcstock "option trap" discussion</w:t>
        </w:r>
      </w:hyperlink>
      <w:r>
        <w:rPr>
          <w:rFonts w:ascii="Calibri" w:hAnsi="Calibri"/>
          <w:color w:val="626A73"/>
          <w:sz w:val="18"/>
        </w:rPr>
        <w:t>.</w:t>
      </w:r>
    </w:p>
    <w:p>
      <w:pPr>
        <w:pStyle w:val="Heading1"/>
        <w:keepNext/>
      </w:pPr>
      <w:r>
        <w:rPr>
          <w:rFonts w:ascii="Calibri" w:hAnsi="Calibri"/>
          <w:b/>
          <w:color w:val="2E74B5"/>
          <w:sz w:val="32"/>
        </w:rPr>
        <w:t>10. Cross-examining the 11:30 and 2:00 theory</w:t>
      </w:r>
    </w:p>
    <w:p>
      <w:pPr/>
      <w:r>
        <w:rPr>
          <w:rFonts w:ascii="Calibri" w:hAnsi="Calibri"/>
          <w:color w:val="111111"/>
          <w:sz w:val="22"/>
        </w:rPr>
        <w:t>The newly attached exchange is valuable because it records the difference between an observation, a machine-generated explanation, and actual proof.</w:t>
      </w:r>
    </w:p>
    <w:p>
      <w:pPr/>
      <w:r>
        <w:rPr>
          <w:rFonts w:ascii="Calibri" w:hAnsi="Calibri"/>
          <w:color w:val="111111"/>
          <w:sz w:val="22"/>
        </w:rPr>
        <w:t>James first described a recurring pattern: morning buy-classified flow, a balance change after the midday high, and a sell-heavy move down the price ladder into the close. He then connected that observation to Matt's public riddle about shifts around approximately 11:30 a.m. and 2:00 p.m. Eastern.</w:t>
      </w:r>
    </w:p>
    <w:p>
      <w:pPr/>
      <w:r>
        <w:rPr>
          <w:rFonts w:ascii="Calibri" w:hAnsi="Calibri"/>
          <w:color w:val="111111"/>
          <w:sz w:val="22"/>
        </w:rPr>
        <w:t>The response initially treated the proposed explanation as confirmed. It asserted:</w:t>
      </w:r>
    </w:p>
    <w:p>
      <w:pPr>
        <w:pStyle w:val="AMCBullet"/>
        <w:numPr>
          <w:ilvl w:val="0"/>
          <w:numId w:val="17"/>
        </w:numPr>
      </w:pPr>
      <w:r>
        <w:rPr>
          <w:rFonts w:ascii="Calibri" w:hAnsi="Calibri"/>
          <w:color w:val="111111"/>
          <w:sz w:val="22"/>
        </w:rPr>
        <w:t>the London close removes a major source of cross-border liquidity at 11:30 a.m.;</w:t>
      </w:r>
    </w:p>
    <w:p>
      <w:pPr>
        <w:pStyle w:val="AMCBullet"/>
        <w:numPr>
          <w:ilvl w:val="0"/>
          <w:numId w:val="17"/>
        </w:numPr>
      </w:pPr>
      <w:r>
        <w:rPr>
          <w:rFonts w:ascii="Calibri" w:hAnsi="Calibri"/>
          <w:color w:val="111111"/>
          <w:sz w:val="22"/>
        </w:rPr>
        <w:t>an alleged "2:00 PM Clearing Wall" is tied to NSCC, Fedwire, and the Federal Reserve's National Settlement Service;</w:t>
      </w:r>
    </w:p>
    <w:p>
      <w:pPr>
        <w:pStyle w:val="AMCBullet"/>
        <w:numPr>
          <w:ilvl w:val="0"/>
          <w:numId w:val="17"/>
        </w:numPr>
      </w:pPr>
      <w:r>
        <w:rPr>
          <w:rFonts w:ascii="Calibri" w:hAnsi="Calibri"/>
          <w:color w:val="111111"/>
          <w:sz w:val="22"/>
        </w:rPr>
        <w:t>firms must roll synthetic or naked-short positions through that window;</w:t>
      </w:r>
    </w:p>
    <w:p>
      <w:pPr>
        <w:pStyle w:val="AMCBullet"/>
        <w:numPr>
          <w:ilvl w:val="0"/>
          <w:numId w:val="17"/>
        </w:numPr>
      </w:pPr>
      <w:r>
        <w:rPr>
          <w:rFonts w:ascii="Calibri" w:hAnsi="Calibri"/>
          <w:color w:val="111111"/>
          <w:sz w:val="22"/>
        </w:rPr>
        <w:t>institutions use late-day "ladder downs" and matching sell blocks to neutralize risk; and</w:t>
      </w:r>
    </w:p>
    <w:p>
      <w:pPr>
        <w:pStyle w:val="AMCBullet"/>
        <w:numPr>
          <w:ilvl w:val="0"/>
          <w:numId w:val="17"/>
        </w:numPr>
      </w:pPr>
      <w:r>
        <w:rPr>
          <w:rFonts w:ascii="Calibri" w:hAnsi="Calibri"/>
          <w:color w:val="111111"/>
          <w:sz w:val="22"/>
        </w:rPr>
        <w:t>the Moomoo flow pattern is the mechanical byproduct of firms cleaning up those positions.</w:t>
      </w:r>
    </w:p>
    <w:p>
      <w:pPr/>
      <w:r>
        <w:rPr>
          <w:rFonts w:ascii="Calibri" w:hAnsi="Calibri"/>
          <w:color w:val="111111"/>
          <w:sz w:val="22"/>
        </w:rPr>
        <w:t>James then asked the controlling question:</w:t>
      </w:r>
    </w:p>
    <w:p>
      <w:pPr>
        <w:pStyle w:val="Callout"/>
        <w:shd w:fill="F4F6F9"/>
        <w:keepLines/>
        <w:pBdr>
          <w:left w:val="single" w:sz="18" w:space="8" w:color="2E74B5"/>
        </w:pBdr>
      </w:pPr>
      <w:r>
        <w:rPr>
          <w:rFonts w:ascii="Calibri" w:hAnsi="Calibri"/>
          <w:b/>
          <w:color w:val="0B2545"/>
          <w:sz w:val="22"/>
        </w:rPr>
        <w:t>Can you provide the trading ledgers or collateral-book data that proves what you are confirming?</w:t>
      </w:r>
    </w:p>
    <w:p>
      <w:pPr/>
      <w:r>
        <w:rPr>
          <w:rFonts w:ascii="Calibri" w:hAnsi="Calibri"/>
          <w:color w:val="111111"/>
          <w:sz w:val="22"/>
        </w:rPr>
        <w:t>The response finally admitted that it could not. It said the internal trading ledgers and collateral books are not public and that the dashboard patterns are circumstantial rather than definitive evidence.</w:t>
      </w:r>
    </w:p>
    <w:p>
      <w:pPr/>
      <w:r>
        <w:rPr>
          <w:rFonts w:ascii="Calibri" w:hAnsi="Calibri"/>
          <w:color w:val="111111"/>
          <w:sz w:val="22"/>
        </w:rPr>
        <w:t>That admission should have come first.</w:t>
      </w:r>
    </w:p>
    <w:p>
      <w:pPr>
        <w:pStyle w:val="Heading2"/>
        <w:keepNext/>
      </w:pPr>
      <w:r>
        <w:rPr>
          <w:rFonts w:ascii="Calibri" w:hAnsi="Calibri"/>
          <w:b/>
          <w:color w:val="2E74B5"/>
          <w:sz w:val="26"/>
        </w:rPr>
        <w:t>Claim audit</w:t>
      </w:r>
    </w:p>
    <w:tbl>
      <w:tblPr>
        <w:tblStyle w:val="TableGrid"/>
        <w:tblW w:type="dxa" w:w="9360"/>
        <w:jc w:val="left"/>
        <w:tblLayout w:type="fixed"/>
        <w:tblLook w:firstColumn="1" w:firstRow="1" w:lastColumn="0" w:lastRow="0" w:noHBand="0" w:noVBand="1" w:val="04A0"/>
        <w:tblInd w:type="dxa" w:w="120"/>
      </w:tblPr>
      <w:tblGrid>
        <w:gridCol w:w="2600"/>
        <w:gridCol w:w="2050"/>
        <w:gridCol w:w="4710"/>
      </w:tblGrid>
      <w:tr>
        <w:trPr>
          <w:cantSplit/>
          <w:trHeight w:hRule="auto"/>
          <w:tblHeader w:val="true"/>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Claim in the attached response</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Evidence status</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Correct treatment on the show</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11:30 shift corresponds with the London close and the U.S. lunch lull.</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Plausible market-timing observation.</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Test the timing statistically across many days. Do not assume the London close caused AMC's pattern without venue and participant data.</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A fixed "2:00 PM Clearing Wall" forces AMC selling.</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established by a cited NSCC, Fedwire, NSS, OCC, or Federal Reserve rule or ledger.</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Present 2:00 as Matt's timing hypothesis. Demand the actual schedule, member notice, calculation file, collateral call, or payment record.</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Naked shorts are rolled daily according to a Fed liquidity submission allowance.</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established. The phrase does not identify a rule, facility, member, transaction, or security-level record.</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Require the specific Federal Reserve facility, eligibility rule, participant, amount, timestamp, collateral, and AMC transaction bridge.</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Market makers absorb morning buys by shorting and later "rebalance through dark pools."</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Possible in some transactions, not demonstrated for the observed day.</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Use venue-resolved order data, dealer inventory, short markings, locates, hedges, and settlement records.</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Institutions sell AMC down to neutralize morning short exposure.</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Mechanically incomplete. Additional stock sales would increase, not close, a simple short-stock position. Dealer hedge direction depends on the complete options and inventory book.</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Reconstruct net delta and gamma. A dealer might sell while de-hedging a falling call book, but that cannot be inferred from a red bar alone.</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High short volume confirms market makers are using locate exemptions.</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False as stated. Daily short-volume files do not identify the seller, motive, locate status, exemption, or surviving end-of-day position.</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Say only that a reported quantity was marked short or short-exempt. Short-exempt is a Rule 201 price-test marking, not proof of a locate exemption.</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FTD spikes prove a participant failed to locate shares.</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False as stated. An FTD can follow a long or short sale and can occur even when a locate was documented.</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FTDs identify settlement failure, not the participant, original trade side, locate status, or intent.</w:t>
            </w:r>
          </w:p>
        </w:tc>
      </w:tr>
      <w:tr>
        <w:trPr>
          <w:cantSplit/>
          <w:trHeight w:hRule="auto"/>
        </w:trPr>
        <w:tc>
          <w:tcPr>
            <w:tcW w:type="dxa" w:w="26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late-day pattern "perfectly aligns" with clearing constraints.</w:t>
            </w:r>
          </w:p>
        </w:tc>
        <w:tc>
          <w:tcPr>
            <w:tcW w:type="dxa" w:w="20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Overstated. Many lawful flows create similar patterns.</w:t>
            </w:r>
          </w:p>
        </w:tc>
        <w:tc>
          <w:tcPr>
            <w:tcW w:type="dxa" w:w="47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Call it a testable correspondence, not confirmation.</w:t>
            </w:r>
          </w:p>
        </w:tc>
      </w:tr>
    </w:tbl>
    <w:p>
      <w:pPr>
        <w:spacing w:before="0" w:after="40" w:line="240" w:lineRule="auto"/>
      </w:pPr>
    </w:p>
    <w:p>
      <w:pPr>
        <w:pStyle w:val="Heading2"/>
        <w:keepNext/>
      </w:pPr>
      <w:r>
        <w:rPr>
          <w:rFonts w:ascii="Calibri" w:hAnsi="Calibri"/>
          <w:b/>
          <w:color w:val="2E74B5"/>
          <w:sz w:val="26"/>
        </w:rPr>
        <w:t>What the timing observation can legitimately become</w:t>
      </w:r>
    </w:p>
    <w:p>
      <w:pPr/>
      <w:r>
        <w:rPr>
          <w:rFonts w:ascii="Calibri" w:hAnsi="Calibri"/>
          <w:color w:val="111111"/>
          <w:sz w:val="22"/>
        </w:rPr>
        <w:t>Matt's 11:30/2:00 observation remains useful if it is turned into a reproducible test:</w:t>
      </w:r>
    </w:p>
    <w:p>
      <w:pPr>
        <w:pStyle w:val="AMCNumber"/>
        <w:numPr>
          <w:ilvl w:val="0"/>
          <w:numId w:val="18"/>
        </w:numPr>
      </w:pPr>
      <w:r>
        <w:rPr>
          <w:rFonts w:ascii="Calibri" w:hAnsi="Calibri"/>
          <w:color w:val="111111"/>
          <w:sz w:val="22"/>
        </w:rPr>
        <w:t>Define the event dates before looking at outcomes.</w:t>
      </w:r>
    </w:p>
    <w:p>
      <w:pPr>
        <w:pStyle w:val="AMCNumber"/>
        <w:numPr>
          <w:ilvl w:val="0"/>
          <w:numId w:val="18"/>
        </w:numPr>
      </w:pPr>
      <w:r>
        <w:rPr>
          <w:rFonts w:ascii="Calibri" w:hAnsi="Calibri"/>
          <w:color w:val="111111"/>
          <w:sz w:val="22"/>
        </w:rPr>
        <w:t>Measure AMC returns, volume, spreads, quote depth, trade aggressor, off-exchange share, options volume, implied volatility, and closing-auction imbalance in fixed windows.</w:t>
      </w:r>
    </w:p>
    <w:p>
      <w:pPr>
        <w:pStyle w:val="AMCNumber"/>
        <w:numPr>
          <w:ilvl w:val="0"/>
          <w:numId w:val="18"/>
        </w:numPr>
      </w:pPr>
      <w:r>
        <w:rPr>
          <w:rFonts w:ascii="Calibri" w:hAnsi="Calibri"/>
          <w:color w:val="111111"/>
          <w:sz w:val="22"/>
        </w:rPr>
        <w:t>Compare 9:30-11:30, 11:30-2:00, and 2:00-4:00 with control days and similarly volatile stocks.</w:t>
      </w:r>
    </w:p>
    <w:p>
      <w:pPr>
        <w:pStyle w:val="AMCNumber"/>
        <w:numPr>
          <w:ilvl w:val="0"/>
          <w:numId w:val="18"/>
        </w:numPr>
      </w:pPr>
      <w:r>
        <w:rPr>
          <w:rFonts w:ascii="Calibri" w:hAnsi="Calibri"/>
          <w:color w:val="111111"/>
          <w:sz w:val="22"/>
        </w:rPr>
        <w:t>Identify whether the pattern survives controls for earnings, offerings, option expirations, index events, and market-wide moves.</w:t>
      </w:r>
    </w:p>
    <w:p>
      <w:pPr>
        <w:pStyle w:val="AMCNumber"/>
        <w:numPr>
          <w:ilvl w:val="0"/>
          <w:numId w:val="18"/>
        </w:numPr>
      </w:pPr>
      <w:r>
        <w:rPr>
          <w:rFonts w:ascii="Calibri" w:hAnsi="Calibri"/>
          <w:color w:val="111111"/>
          <w:sz w:val="22"/>
        </w:rPr>
        <w:t>Only then compare the statistical pattern with documented OCC, NSCC, Fedwire, or NSS processes.</w:t>
      </w:r>
    </w:p>
    <w:p>
      <w:pPr>
        <w:pStyle w:val="AMCNumber"/>
        <w:numPr>
          <w:ilvl w:val="0"/>
          <w:numId w:val="18"/>
        </w:numPr>
      </w:pPr>
      <w:r>
        <w:rPr>
          <w:rFonts w:ascii="Calibri" w:hAnsi="Calibri"/>
          <w:color w:val="111111"/>
          <w:sz w:val="22"/>
        </w:rPr>
        <w:t>Treat the participant-level ledger as the final proof layer.</w:t>
      </w:r>
    </w:p>
    <w:p>
      <w:pPr/>
      <w:r>
        <w:rPr>
          <w:rFonts w:ascii="Calibri" w:hAnsi="Calibri"/>
          <w:color w:val="111111"/>
          <w:sz w:val="22"/>
        </w:rPr>
        <w:t>The live segment should land this way:</w:t>
      </w:r>
    </w:p>
    <w:p>
      <w:pPr>
        <w:pStyle w:val="Callout"/>
        <w:shd w:fill="F4F6F9"/>
        <w:keepLines/>
        <w:pBdr>
          <w:left w:val="single" w:sz="18" w:space="8" w:color="2E74B5"/>
        </w:pBdr>
      </w:pPr>
      <w:r>
        <w:rPr>
          <w:rFonts w:ascii="Calibri" w:hAnsi="Calibri"/>
          <w:b/>
          <w:color w:val="0B2545"/>
          <w:sz w:val="22"/>
        </w:rPr>
        <w:t>The timing pattern is Matt's lead. Grok's first answer supplied a confident story. James asked for the ledger, and the story lost its proof. We keep the lead, discard the fake confirmation, and subpoena the records.</w:t>
      </w:r>
    </w:p>
    <w:p>
      <w:pPr/>
      <w:r>
        <w:rPr>
          <w:rFonts w:ascii="Calibri" w:hAnsi="Calibri"/>
          <w:color w:val="111111"/>
          <w:sz w:val="22"/>
        </w:rPr>
        <w:t>The attached response is not evidence that a 2:00 clearing wall exists. It is evidence of why the show needs a strict proof standard.</w:t>
      </w:r>
    </w:p>
    <w:p>
      <w:pPr>
        <w:pStyle w:val="Heading1"/>
        <w:keepNext/>
      </w:pPr>
      <w:r>
        <w:rPr>
          <w:rFonts w:ascii="Calibri" w:hAnsi="Calibri"/>
          <w:b/>
          <w:color w:val="2E74B5"/>
          <w:sz w:val="32"/>
        </w:rPr>
        <w:t>11. OCC documented the type of intraday blind spot</w:t>
      </w:r>
    </w:p>
    <w:p>
      <w:pPr/>
      <w:r>
        <w:rPr>
          <w:rFonts w:ascii="Calibri" w:hAnsi="Calibri"/>
          <w:color w:val="111111"/>
          <w:sz w:val="22"/>
        </w:rPr>
        <w:t>OCC did not say that AMC June 2 exposed a hidden short-gamma position. It did not name Citadel, Susquehanna, PEAK6, Wolverine, Jane Street, Robinhood, or any other firm. It did not publish the clearing-member AMC margin file.</w:t>
      </w:r>
    </w:p>
    <w:p>
      <w:pPr/>
      <w:r>
        <w:rPr>
          <w:rFonts w:ascii="Calibri" w:hAnsi="Calibri"/>
          <w:color w:val="111111"/>
          <w:sz w:val="22"/>
        </w:rPr>
        <w:t>What OCC later documented is still important.</w:t>
      </w:r>
    </w:p>
    <w:p>
      <w:pPr/>
      <w:r>
        <w:rPr>
          <w:rFonts w:ascii="Calibri" w:hAnsi="Calibri"/>
          <w:color w:val="111111"/>
          <w:sz w:val="22"/>
        </w:rPr>
        <w:t>OCC's intraday-risk rulemaking explained that end-of-day positions could fail to capture risk from intraday positions that were traded out, exercised, or expired before the end-of-day record. Its earlier framework relied heavily on start-of-day collateral and end-of-day position capture. The proposed Intraday Risk Charge used 20-minute snapshots to identify peak intraday risk increases and concentrated much of the modeled impact among a small number of firms.</w:t>
      </w:r>
    </w:p>
    <w:p>
      <w:pPr/>
      <w:r>
        <w:rPr>
          <w:rFonts w:ascii="Calibri" w:hAnsi="Calibri"/>
          <w:color w:val="111111"/>
          <w:sz w:val="22"/>
        </w:rPr>
        <w:t>The proposal changed during review:</w:t>
      </w:r>
    </w:p>
    <w:p>
      <w:pPr>
        <w:pStyle w:val="AMCBullet"/>
        <w:numPr>
          <w:ilvl w:val="0"/>
          <w:numId w:val="19"/>
        </w:numPr>
      </w:pPr>
      <w:r>
        <w:rPr>
          <w:rFonts w:ascii="Calibri" w:hAnsi="Calibri"/>
          <w:color w:val="111111"/>
          <w:sz w:val="22"/>
        </w:rPr>
        <w:t>earlier materials described a broader intraday measurement design and said the ten most affected firms represented approximately 68% of modeled additional margin;</w:t>
      </w:r>
    </w:p>
    <w:p>
      <w:pPr>
        <w:pStyle w:val="AMCBullet"/>
        <w:numPr>
          <w:ilvl w:val="0"/>
          <w:numId w:val="19"/>
        </w:numPr>
      </w:pPr>
      <w:r>
        <w:rPr>
          <w:rFonts w:ascii="Calibri" w:hAnsi="Calibri"/>
          <w:color w:val="111111"/>
          <w:sz w:val="22"/>
        </w:rPr>
        <w:t>later amended analysis used a different period and design, reporting approximately $1.099 billion in average aggregate additional margin and about 73% concentrated among the ten most affected firms; and</w:t>
      </w:r>
    </w:p>
    <w:p>
      <w:pPr>
        <w:pStyle w:val="AMCBullet"/>
        <w:numPr>
          <w:ilvl w:val="0"/>
          <w:numId w:val="19"/>
        </w:numPr>
      </w:pPr>
      <w:r>
        <w:rPr>
          <w:rFonts w:ascii="Calibri" w:hAnsi="Calibri"/>
          <w:color w:val="111111"/>
          <w:sz w:val="22"/>
        </w:rPr>
        <w:t>the approved version narrowed scheduled snapshots to approximately 11:00 a.m. through 12:30 p.m. Central Time while retaining broader monitoring authority.</w:t>
      </w:r>
    </w:p>
    <w:p>
      <w:pPr/>
      <w:r>
        <w:rPr>
          <w:rFonts w:ascii="Calibri" w:hAnsi="Calibri"/>
          <w:color w:val="111111"/>
          <w:sz w:val="22"/>
        </w:rPr>
        <w:t>Those figures should not be blended as though they came from one test. Together they show that OCC considered peak intraday exposure sufficiently important to build a new collateral tool and that the impact was concentrated.</w:t>
      </w:r>
    </w:p>
    <w:p>
      <w:pPr/>
      <w:r>
        <w:rPr>
          <w:rFonts w:ascii="Calibri" w:hAnsi="Calibri"/>
          <w:color w:val="111111"/>
          <w:sz w:val="22"/>
        </w:rPr>
        <w:t>This supports Matt's timing observation as a research lead, not a confirmed "2:00 clearing wall." Repeated intraday price or flow changes can be compared with OCC processes, but no public record proves that a specific AMC clearing member received a margin call at a fixed time on June 2.</w:t>
      </w:r>
    </w:p>
    <w:p>
      <w:pPr/>
      <w:r>
        <w:rPr>
          <w:rFonts w:ascii="Calibri" w:hAnsi="Calibri"/>
          <w:color w:val="111111"/>
          <w:sz w:val="22"/>
        </w:rPr>
        <w:t>The show line is:</w:t>
      </w:r>
    </w:p>
    <w:p>
      <w:pPr>
        <w:pStyle w:val="Callout"/>
        <w:shd w:fill="F4F6F9"/>
        <w:keepLines/>
        <w:pBdr>
          <w:left w:val="single" w:sz="18" w:space="8" w:color="2E74B5"/>
        </w:pBdr>
      </w:pPr>
      <w:r>
        <w:rPr>
          <w:rFonts w:ascii="Calibri" w:hAnsi="Calibri"/>
          <w:b/>
          <w:color w:val="0B2545"/>
          <w:sz w:val="22"/>
        </w:rPr>
        <w:t>OCC did not confess to AMC. It documented the type of intraday options-risk blind spot that makes AMC's hidden member-level ledger worth demanding.</w:t>
      </w:r>
    </w:p>
    <w:p>
      <w:pPr>
        <w:pStyle w:val="Source"/>
        <w:keepLines/>
      </w:pPr>
      <w:r>
        <w:rPr>
          <w:rFonts w:ascii="Calibri" w:hAnsi="Calibri"/>
          <w:b/>
          <w:color w:val="626A73"/>
          <w:sz w:val="18"/>
        </w:rPr>
        <w:t>Key sources:</w:t>
      </w:r>
      <w:r>
        <w:rPr>
          <w:rFonts w:ascii="Calibri" w:hAnsi="Calibri"/>
          <w:color w:val="626A73"/>
          <w:sz w:val="18"/>
        </w:rPr>
        <w:t xml:space="preserve"> </w:t>
      </w:r>
      <w:hyperlink r:id="rId33">
        <w:r>
          <w:rPr>
            <w:rFonts w:ascii="Calibri" w:hAnsi="Calibri"/>
            <w:color w:val="2E74B5"/>
            <w:u w:val="single"/>
            <w:sz w:val="18"/>
            <w:szCs w:val="18"/>
          </w:rPr>
          <w:t>OCC Information Memo 55123</w:t>
        </w:r>
      </w:hyperlink>
      <w:r>
        <w:rPr>
          <w:rFonts w:ascii="Calibri" w:hAnsi="Calibri"/>
          <w:color w:val="626A73"/>
          <w:sz w:val="18"/>
        </w:rPr>
        <w:t xml:space="preserve">; </w:t>
      </w:r>
      <w:hyperlink r:id="rId34">
        <w:r>
          <w:rPr>
            <w:rFonts w:ascii="Calibri" w:hAnsi="Calibri"/>
            <w:color w:val="2E74B5"/>
            <w:u w:val="single"/>
            <w:sz w:val="18"/>
            <w:szCs w:val="18"/>
          </w:rPr>
          <w:t>SEC notice of SR-OCC-2024-010</w:t>
        </w:r>
      </w:hyperlink>
      <w:r>
        <w:rPr>
          <w:rFonts w:ascii="Calibri" w:hAnsi="Calibri"/>
          <w:color w:val="626A73"/>
          <w:sz w:val="18"/>
        </w:rPr>
        <w:t xml:space="preserve">; </w:t>
      </w:r>
      <w:hyperlink r:id="rId35">
        <w:r>
          <w:rPr>
            <w:rFonts w:ascii="Calibri" w:hAnsi="Calibri"/>
            <w:color w:val="2E74B5"/>
            <w:u w:val="single"/>
            <w:sz w:val="18"/>
            <w:szCs w:val="18"/>
          </w:rPr>
          <w:t>SEC approval order</w:t>
        </w:r>
      </w:hyperlink>
      <w:r>
        <w:rPr>
          <w:rFonts w:ascii="Calibri" w:hAnsi="Calibri"/>
          <w:color w:val="626A73"/>
          <w:sz w:val="18"/>
        </w:rPr>
        <w:t>.</w:t>
      </w:r>
    </w:p>
    <w:p>
      <w:pPr>
        <w:pStyle w:val="Heading1"/>
        <w:keepNext/>
      </w:pPr>
      <w:r>
        <w:rPr>
          <w:rFonts w:ascii="Calibri" w:hAnsi="Calibri"/>
          <w:b/>
          <w:color w:val="2E74B5"/>
          <w:sz w:val="32"/>
        </w:rPr>
        <w:t>12. Tokenized AMC: a bounded supporting lane</w:t>
      </w:r>
    </w:p>
    <w:p>
      <w:pPr/>
      <w:r>
        <w:rPr>
          <w:rFonts w:ascii="Calibri" w:hAnsi="Calibri"/>
          <w:color w:val="111111"/>
          <w:sz w:val="22"/>
        </w:rPr>
        <w:t>The FTX and tokenized-stock material from the uploads should remain in the investigation, but it should not be presented as proof of the June options mechanism.</w:t>
      </w:r>
    </w:p>
    <w:p>
      <w:pPr/>
      <w:r>
        <w:rPr>
          <w:rFonts w:ascii="Calibri" w:hAnsi="Calibri"/>
          <w:color w:val="111111"/>
          <w:sz w:val="22"/>
        </w:rPr>
        <w:t>The court-approved FTX claim-estimation materials recognized categories including Tokenized Stocks and Futures. A related valuation table listed AMC, APEAMC, and GME under Tokenized Stocks and separately listed AMC-1230 and GME-1230 under Futures.</w:t>
      </w:r>
    </w:p>
    <w:p>
      <w:pPr/>
      <w:r>
        <w:rPr>
          <w:rFonts w:ascii="Calibri" w:hAnsi="Calibri"/>
          <w:color w:val="111111"/>
          <w:sz w:val="22"/>
        </w:rPr>
        <w:t>That proves the instruments appeared in official valuation and claim materials. It does not prove one-for-one backing, lack of backing, use as locates, collateral misuse, influence on AMC's price, or a connection to a specific June 2021 participant.</w:t>
      </w:r>
    </w:p>
    <w:p>
      <w:pPr/>
      <w:r>
        <w:rPr>
          <w:rFonts w:ascii="Calibri" w:hAnsi="Calibri"/>
          <w:color w:val="111111"/>
          <w:sz w:val="22"/>
        </w:rPr>
        <w:t>One uploaded FTX item, D.I. 31051-1, is an unsigned proposed-order exhibit. It must not be described as an entered order or a judicial finding.</w:t>
      </w:r>
    </w:p>
    <w:p>
      <w:pPr/>
      <w:r>
        <w:rPr>
          <w:rFonts w:ascii="Calibri" w:hAnsi="Calibri"/>
          <w:color w:val="111111"/>
          <w:sz w:val="22"/>
        </w:rPr>
        <w:t>The tokenization lane belongs in the "records still hidden" portion of the show:</w:t>
      </w:r>
    </w:p>
    <w:p>
      <w:pPr>
        <w:pStyle w:val="AMCBullet"/>
        <w:numPr>
          <w:ilvl w:val="0"/>
          <w:numId w:val="20"/>
        </w:numPr>
      </w:pPr>
      <w:r>
        <w:rPr>
          <w:rFonts w:ascii="Calibri" w:hAnsi="Calibri"/>
          <w:color w:val="111111"/>
          <w:sz w:val="22"/>
        </w:rPr>
        <w:t>Tokenized Stocks Agreement;</w:t>
      </w:r>
    </w:p>
    <w:p>
      <w:pPr>
        <w:pStyle w:val="AMCBullet"/>
        <w:numPr>
          <w:ilvl w:val="0"/>
          <w:numId w:val="20"/>
        </w:numPr>
      </w:pPr>
      <w:r>
        <w:rPr>
          <w:rFonts w:ascii="Calibri" w:hAnsi="Calibri"/>
          <w:color w:val="111111"/>
          <w:sz w:val="22"/>
        </w:rPr>
        <w:t>issuer and custodian identity;</w:t>
      </w:r>
    </w:p>
    <w:p>
      <w:pPr>
        <w:pStyle w:val="AMCBullet"/>
        <w:numPr>
          <w:ilvl w:val="0"/>
          <w:numId w:val="20"/>
        </w:numPr>
      </w:pPr>
      <w:r>
        <w:rPr>
          <w:rFonts w:ascii="Calibri" w:hAnsi="Calibri"/>
          <w:color w:val="111111"/>
          <w:sz w:val="22"/>
        </w:rPr>
        <w:t>quantities issued and redeemed;</w:t>
      </w:r>
    </w:p>
    <w:p>
      <w:pPr>
        <w:pStyle w:val="AMCBullet"/>
        <w:numPr>
          <w:ilvl w:val="0"/>
          <w:numId w:val="20"/>
        </w:numPr>
      </w:pPr>
      <w:r>
        <w:rPr>
          <w:rFonts w:ascii="Calibri" w:hAnsi="Calibri"/>
          <w:color w:val="111111"/>
          <w:sz w:val="22"/>
        </w:rPr>
        <w:t>underlying custody schedules;</w:t>
      </w:r>
    </w:p>
    <w:p>
      <w:pPr>
        <w:pStyle w:val="AMCBullet"/>
        <w:numPr>
          <w:ilvl w:val="0"/>
          <w:numId w:val="20"/>
        </w:numPr>
      </w:pPr>
      <w:r>
        <w:rPr>
          <w:rFonts w:ascii="Calibri" w:hAnsi="Calibri"/>
          <w:color w:val="111111"/>
          <w:sz w:val="22"/>
        </w:rPr>
        <w:t>collateral and pledging rights;</w:t>
      </w:r>
    </w:p>
    <w:p>
      <w:pPr>
        <w:pStyle w:val="AMCBullet"/>
        <w:numPr>
          <w:ilvl w:val="0"/>
          <w:numId w:val="20"/>
        </w:numPr>
      </w:pPr>
      <w:r>
        <w:rPr>
          <w:rFonts w:ascii="Calibri" w:hAnsi="Calibri"/>
          <w:color w:val="111111"/>
          <w:sz w:val="22"/>
        </w:rPr>
        <w:t>CM-Equity, FTX Europe, and Binance records; and</w:t>
      </w:r>
    </w:p>
    <w:p>
      <w:pPr>
        <w:pStyle w:val="AMCBullet"/>
        <w:numPr>
          <w:ilvl w:val="0"/>
          <w:numId w:val="20"/>
        </w:numPr>
      </w:pPr>
      <w:r>
        <w:rPr>
          <w:rFonts w:ascii="Calibri" w:hAnsi="Calibri"/>
          <w:color w:val="111111"/>
          <w:sz w:val="22"/>
        </w:rPr>
        <w:t>any link to real-world securities lending, locates, swaps, or settlement.</w:t>
      </w:r>
    </w:p>
    <w:p>
      <w:pPr/>
      <w:r>
        <w:rPr>
          <w:rFonts w:ascii="Calibri" w:hAnsi="Calibri"/>
          <w:color w:val="111111"/>
          <w:sz w:val="22"/>
        </w:rPr>
        <w:t>This is supporting context about opacity and backing chains. It is not the proof of June.</w:t>
      </w:r>
    </w:p>
    <w:p>
      <w:pPr>
        <w:pStyle w:val="Heading1"/>
        <w:keepNext/>
      </w:pPr>
      <w:r>
        <w:t>13. What the smoking-gun hunt actually found</w:t>
      </w:r>
    </w:p>
    <w:p>
      <w:pPr/>
      <w:r>
        <w:t>There is no honest single smoking gun that answers every question. There are separate receipts for separate claims. The strongest finding destroys the fundamental-only rewrite; the closest named options receipt shows an institutional short-call position was caught in the run; the remaining participant-level causal chain is still withheld from the public.</w:t>
      </w:r>
    </w:p>
    <w:tbl>
      <w:tblPr>
        <w:tblStyle w:val="TableGrid"/>
        <w:tblW w:type="auto" w:w="0"/>
        <w:tblLook w:firstColumn="1" w:firstRow="1" w:lastColumn="0" w:lastRow="0" w:noHBand="0" w:noVBand="1" w:val="04A0"/>
      </w:tblPr>
      <w:tblGrid>
        <w:gridCol w:w="3120"/>
        <w:gridCol w:w="3120"/>
        <w:gridCol w:w="3120"/>
      </w:tblGrid>
      <w:tr>
        <w:trPr>
          <w:cantSplit/>
        </w:trPr>
        <w:tc>
          <w:tcPr>
            <w:tcW w:type="dxa" w:w="2088"/>
            <w:vAlign w:val="center"/>
            <w:shd w:fill="1F4E78"/>
          </w:tcPr>
          <w:p>
            <w:r>
              <w:rPr>
                <w:b/>
                <w:color w:val="FFFFFF"/>
              </w:rPr>
            </w:r>
            <w:r>
              <w:rPr>
                <w:rFonts w:ascii="Aptos" w:hAnsi="Aptos"/>
                <w:b/>
                <w:color w:val="FFFFFF"/>
                <w:sz w:val="17"/>
              </w:rPr>
              <w:t>Claim</w:t>
            </w:r>
          </w:p>
        </w:tc>
        <w:tc>
          <w:tcPr>
            <w:tcW w:type="dxa" w:w="6048"/>
            <w:vAlign w:val="center"/>
            <w:shd w:fill="1F4E78"/>
          </w:tcPr>
          <w:p>
            <w:r>
              <w:rPr>
                <w:b/>
                <w:color w:val="FFFFFF"/>
              </w:rPr>
            </w:r>
            <w:r>
              <w:rPr>
                <w:rFonts w:ascii="Aptos" w:hAnsi="Aptos"/>
                <w:b/>
                <w:color w:val="FFFFFF"/>
                <w:sz w:val="17"/>
              </w:rPr>
              <w:t>Best public evidence</w:t>
            </w:r>
          </w:p>
        </w:tc>
        <w:tc>
          <w:tcPr>
            <w:tcW w:type="dxa" w:w="2376"/>
            <w:vAlign w:val="center"/>
            <w:shd w:fill="1F4E78"/>
          </w:tcPr>
          <w:p>
            <w:r>
              <w:rPr>
                <w:b/>
                <w:color w:val="FFFFFF"/>
              </w:rPr>
            </w:r>
            <w:r>
              <w:rPr>
                <w:rFonts w:ascii="Aptos" w:hAnsi="Aptos"/>
                <w:b/>
                <w:color w:val="FFFFFF"/>
                <w:sz w:val="17"/>
              </w:rPr>
              <w:t>Verdict</w:t>
            </w:r>
          </w:p>
        </w:tc>
      </w:tr>
      <w:tr>
        <w:trPr>
          <w:cantSplit/>
        </w:trPr>
        <w:tc>
          <w:tcPr>
            <w:tcW w:type="dxa" w:w="2088"/>
            <w:vAlign w:val="center"/>
            <w:shd w:fill="F4F7FA"/>
          </w:tcPr>
          <w:p>
            <w:r/>
            <w:r>
              <w:rPr>
                <w:rFonts w:ascii="Aptos" w:hAnsi="Aptos"/>
                <w:sz w:val="17"/>
              </w:rPr>
              <w:t>June was a fundamental victory</w:t>
            </w:r>
          </w:p>
        </w:tc>
        <w:tc>
          <w:tcPr>
            <w:tcW w:type="dxa" w:w="6048"/>
            <w:vAlign w:val="center"/>
            <w:shd w:fill="F4F7FA"/>
          </w:tcPr>
          <w:p>
            <w:r/>
            <w:r>
              <w:rPr>
                <w:rFonts w:ascii="Aptos" w:hAnsi="Aptos"/>
                <w:sz w:val="17"/>
              </w:rPr>
              <w:t>AMC's June 3 filing said the volatility and market prices reflected trading dynamics unrelated to its business or fundamentals and expressly named options, derivatives, and hedging.</w:t>
            </w:r>
          </w:p>
        </w:tc>
        <w:tc>
          <w:tcPr>
            <w:tcW w:type="dxa" w:w="2376"/>
            <w:vAlign w:val="center"/>
            <w:shd w:fill="F4F7FA"/>
          </w:tcPr>
          <w:p>
            <w:r/>
            <w:r>
              <w:rPr>
                <w:rFonts w:ascii="Aptos" w:hAnsi="Aptos"/>
                <w:sz w:val="17"/>
              </w:rPr>
              <w:t>Contradicted by issuer filing</w:t>
            </w:r>
          </w:p>
        </w:tc>
      </w:tr>
      <w:tr>
        <w:trPr>
          <w:cantSplit/>
        </w:trPr>
        <w:tc>
          <w:tcPr>
            <w:tcW w:type="dxa" w:w="2088"/>
            <w:vAlign w:val="center"/>
            <w:shd w:fill="FFFFFF"/>
          </w:tcPr>
          <w:p>
            <w:r/>
            <w:r>
              <w:rPr>
                <w:rFonts w:ascii="Aptos" w:hAnsi="Aptos"/>
                <w:sz w:val="17"/>
              </w:rPr>
              <w:t>Options were irrelevant</w:t>
            </w:r>
          </w:p>
        </w:tc>
        <w:tc>
          <w:tcPr>
            <w:tcW w:type="dxa" w:w="6048"/>
            <w:vAlign w:val="center"/>
            <w:shd w:fill="FFFFFF"/>
          </w:tcPr>
          <w:p>
            <w:r/>
            <w:r>
              <w:rPr>
                <w:rFonts w:ascii="Aptos" w:hAnsi="Aptos"/>
                <w:sz w:val="17"/>
              </w:rPr>
              <w:t>About 4.6 million contracts traded; Reuters reported market-maker hedging; AMC separately warned that puts, calls, and derivatives could amplify volatility; Mudrick was reported to have suffered on short calls.</w:t>
            </w:r>
          </w:p>
        </w:tc>
        <w:tc>
          <w:tcPr>
            <w:tcW w:type="dxa" w:w="2376"/>
            <w:vAlign w:val="center"/>
            <w:shd w:fill="FFFFFF"/>
          </w:tcPr>
          <w:p>
            <w:r/>
            <w:r>
              <w:rPr>
                <w:rFonts w:ascii="Aptos" w:hAnsi="Aptos"/>
                <w:sz w:val="17"/>
              </w:rPr>
              <w:t>Contradicted / strongly corroborated</w:t>
            </w:r>
          </w:p>
        </w:tc>
      </w:tr>
      <w:tr>
        <w:trPr>
          <w:cantSplit/>
        </w:trPr>
        <w:tc>
          <w:tcPr>
            <w:tcW w:type="dxa" w:w="2088"/>
            <w:vAlign w:val="center"/>
            <w:shd w:fill="F4F7FA"/>
          </w:tcPr>
          <w:p>
            <w:r/>
            <w:r>
              <w:rPr>
                <w:rFonts w:ascii="Aptos" w:hAnsi="Aptos"/>
                <w:sz w:val="17"/>
              </w:rPr>
              <w:t>A specific dealer caused the entire move</w:t>
            </w:r>
          </w:p>
        </w:tc>
        <w:tc>
          <w:tcPr>
            <w:tcW w:type="dxa" w:w="6048"/>
            <w:vAlign w:val="center"/>
            <w:shd w:fill="F4F7FA"/>
          </w:tcPr>
          <w:p>
            <w:r/>
            <w:r>
              <w:rPr>
                <w:rFonts w:ascii="Aptos" w:hAnsi="Aptos"/>
                <w:sz w:val="17"/>
              </w:rPr>
              <w:t>Public filings omit written options, short stock, swaps, strikes, expirations, and intraday hedge trades. No public blotter allocates the run by participant.</w:t>
            </w:r>
          </w:p>
        </w:tc>
        <w:tc>
          <w:tcPr>
            <w:tcW w:type="dxa" w:w="2376"/>
            <w:vAlign w:val="center"/>
            <w:shd w:fill="F4F7FA"/>
          </w:tcPr>
          <w:p>
            <w:r/>
            <w:r>
              <w:rPr>
                <w:rFonts w:ascii="Aptos" w:hAnsi="Aptos"/>
                <w:sz w:val="17"/>
              </w:rPr>
              <w:t>Not proven</w:t>
            </w:r>
          </w:p>
        </w:tc>
      </w:tr>
      <w:tr>
        <w:trPr>
          <w:cantSplit/>
        </w:trPr>
        <w:tc>
          <w:tcPr>
            <w:tcW w:type="dxa" w:w="2088"/>
            <w:vAlign w:val="center"/>
            <w:shd w:fill="FFFFFF"/>
          </w:tcPr>
          <w:p>
            <w:r/>
            <w:r>
              <w:rPr>
                <w:rFonts w:ascii="Aptos" w:hAnsi="Aptos"/>
                <w:sz w:val="17"/>
              </w:rPr>
              <w:t>The late-June FTD cluster was the direct settlement footprint of June 2</w:t>
            </w:r>
          </w:p>
        </w:tc>
        <w:tc>
          <w:tcPr>
            <w:tcW w:type="dxa" w:w="6048"/>
            <w:vAlign w:val="center"/>
            <w:shd w:fill="FFFFFF"/>
          </w:tcPr>
          <w:p>
            <w:r/>
            <w:r>
              <w:rPr>
                <w:rFonts w:ascii="Aptos" w:hAnsi="Aptos"/>
                <w:sz w:val="17"/>
              </w:rPr>
              <w:t>The June 3 peak maps to June 1 under T+2; June 4 was 1.403 million and the balance fell to 49,700 by June 7. A separate cluster began June 18.</w:t>
            </w:r>
          </w:p>
        </w:tc>
        <w:tc>
          <w:tcPr>
            <w:tcW w:type="dxa" w:w="2376"/>
            <w:vAlign w:val="center"/>
            <w:shd w:fill="FFFFFF"/>
          </w:tcPr>
          <w:p>
            <w:r/>
            <w:r>
              <w:rPr>
                <w:rFonts w:ascii="Aptos" w:hAnsi="Aptos"/>
                <w:sz w:val="17"/>
              </w:rPr>
              <w:t>Chronology contradicts a simple one-chain claim</w:t>
            </w:r>
          </w:p>
        </w:tc>
      </w:tr>
      <w:tr>
        <w:trPr>
          <w:cantSplit/>
        </w:trPr>
        <w:tc>
          <w:tcPr>
            <w:tcW w:type="dxa" w:w="2088"/>
            <w:vAlign w:val="center"/>
            <w:shd w:fill="F4F7FA"/>
          </w:tcPr>
          <w:p>
            <w:r/>
            <w:r>
              <w:rPr>
                <w:rFonts w:ascii="Aptos" w:hAnsi="Aptos"/>
                <w:sz w:val="17"/>
              </w:rPr>
              <w:t>The detailed settlement ledger exists</w:t>
            </w:r>
          </w:p>
        </w:tc>
        <w:tc>
          <w:tcPr>
            <w:tcW w:type="dxa" w:w="6048"/>
            <w:vAlign w:val="center"/>
            <w:shd w:fill="F4F7FA"/>
          </w:tcPr>
          <w:p>
            <w:r/>
            <w:r>
              <w:rPr>
                <w:rFonts w:ascii="Aptos" w:hAnsi="Aptos"/>
                <w:sz w:val="17"/>
              </w:rPr>
              <w:t>DTCC's 2026 portal materials identify CNS positions, settlement activity, buy-ins, projections, receive/deliver reports, exceptions, and trade-level drilldowns available to clients.</w:t>
            </w:r>
          </w:p>
        </w:tc>
        <w:tc>
          <w:tcPr>
            <w:tcW w:type="dxa" w:w="2376"/>
            <w:vAlign w:val="center"/>
            <w:shd w:fill="F4F7FA"/>
          </w:tcPr>
          <w:p>
            <w:r/>
            <w:r>
              <w:rPr>
                <w:rFonts w:ascii="Aptos" w:hAnsi="Aptos"/>
                <w:sz w:val="17"/>
              </w:rPr>
              <w:t>Documented existence; June participants still hidden</w:t>
            </w:r>
          </w:p>
        </w:tc>
      </w:tr>
      <w:tr>
        <w:trPr>
          <w:cantSplit/>
        </w:trPr>
        <w:tc>
          <w:tcPr>
            <w:tcW w:type="dxa" w:w="2088"/>
            <w:vAlign w:val="center"/>
            <w:shd w:fill="FFFFFF"/>
          </w:tcPr>
          <w:p>
            <w:r/>
            <w:r>
              <w:rPr>
                <w:rFonts w:ascii="Aptos" w:hAnsi="Aptos"/>
                <w:sz w:val="17"/>
              </w:rPr>
              <w:t>The anti-options message was coordinated and suppressed AMC</w:t>
            </w:r>
          </w:p>
        </w:tc>
        <w:tc>
          <w:tcPr>
            <w:tcW w:type="dxa" w:w="6048"/>
            <w:vAlign w:val="center"/>
            <w:shd w:fill="FFFFFF"/>
          </w:tcPr>
          <w:p>
            <w:r/>
            <w:r>
              <w:rPr>
                <w:rFonts w:ascii="Aptos" w:hAnsi="Aptos"/>
                <w:sz w:val="17"/>
              </w:rPr>
              <w:t>The message and its repetition are public. Its origin, coordination, behavioral reach, and price effect are not established without account-network and order-flow evidence.</w:t>
            </w:r>
          </w:p>
        </w:tc>
        <w:tc>
          <w:tcPr>
            <w:tcW w:type="dxa" w:w="2376"/>
            <w:vAlign w:val="center"/>
            <w:shd w:fill="FFFFFF"/>
          </w:tcPr>
          <w:p>
            <w:r/>
            <w:r>
              <w:rPr>
                <w:rFonts w:ascii="Aptos" w:hAnsi="Aptos"/>
                <w:sz w:val="17"/>
              </w:rPr>
              <w:t>Open investigation</w:t>
            </w:r>
          </w:p>
        </w:tc>
      </w:tr>
    </w:tbl>
    <w:p/>
    <w:p>
      <w:pPr>
        <w:pStyle w:val="Callout"/>
        <w:keepLines/>
      </w:pPr>
      <w:r>
        <w:t>The smoking gun is therefore precise: AMC itself defeats the claim that fundamentals explain the June price. The options evidence is powerful corroboration of mechanism and institutional stress, but the public record still cannot assign every contract, hedge share, fail, or closeout to a participant.</w:t>
      </w:r>
    </w:p>
    <w:p>
      <w:pPr>
        <w:pStyle w:val="Heading1"/>
        <w:keepNext/>
      </w:pPr>
      <w:r>
        <w:t>14. The closest named options receipt: Mudrick</w:t>
      </w:r>
    </w:p>
    <w:p>
      <w:pPr/>
      <w:r>
        <w:t>AMC's June 1 Form 8-K proves that Mudrick Capital bought 8.5 million newly issued shares for $230.5 million. The share purchase is primary-source fact.</w:t>
      </w:r>
    </w:p>
    <w:p>
      <w:pPr/>
      <w:r>
        <w:t>The Wall Street Journal then reported, citing people familiar with the matter, that Mudrick had sold call options with a $40 strike and that derivative losses during AMC's surge erased much of the benefit from its share trade. Reuters separately reported that Mudrick sold the newly purchased shares the same day. This is the nearest public receipt tying a named institution's short-call exposure to the June run.</w:t>
      </w:r>
    </w:p>
    <w:p>
      <w:pPr>
        <w:pStyle w:val="Callout"/>
        <w:keepLines/>
      </w:pPr>
      <w:r>
        <w:t>What it proves: at least one identifiable institutional short-call book was under severe pressure as AMC crossed and ran far beyond $40. What it does not prove: that Mudrick wrote a material share of the 4.6 million contracts, that it hedged by purchasing a disclosed number of shares, that it was the dominant dealer counterparty, or that its position caused AMC to reach $72.62. The option blotter and hedge ledger remain absent.</w:t>
      </w:r>
    </w:p>
    <w:p>
      <w:pPr>
        <w:pStyle w:val="Source"/>
        <w:keepLines/>
      </w:pPr>
      <w:r>
        <w:t xml:space="preserve">Key sources: </w:t>
      </w:r>
      <w:hyperlink r:id="rId38">
        <w:r>
          <w:rPr>
            <w:color w:val="0563C1"/>
            <w:u w:val="single"/>
          </w:rPr>
          <w:t>AMC June 1 Form 8-K</w:t>
        </w:r>
      </w:hyperlink>
      <w:r>
        <w:t xml:space="preserve">; </w:t>
      </w:r>
      <w:hyperlink r:id="rId39">
        <w:r>
          <w:rPr>
            <w:color w:val="0563C1"/>
            <w:u w:val="single"/>
          </w:rPr>
          <w:t>Wall Street Journal</w:t>
        </w:r>
      </w:hyperlink>
      <w:r>
        <w:t xml:space="preserve">; </w:t>
      </w:r>
      <w:hyperlink r:id="rId40">
        <w:r>
          <w:rPr>
            <w:color w:val="0563C1"/>
            <w:u w:val="single"/>
          </w:rPr>
          <w:t>Reuters June 1 report</w:t>
        </w:r>
      </w:hyperlink>
    </w:p>
    <w:p>
      <w:pPr>
        <w:pStyle w:val="Heading1"/>
        <w:keepNext/>
      </w:pPr>
      <w:r>
        <w:t>15. The CAT hole: June options were never in CAT</w:t>
      </w:r>
    </w:p>
    <w:p>
      <w:pPr/>
      <w:r>
        <w:t>The Consolidated Audit Trail is often invoked as if it must contain the missing June options lifecycle. It does not. The CAT NMS Plan's fourth-quarter 2021 progress report states that Phase 2d options reporting went into production on December 13, 2021—more than six months after AMC's run. Equity Phase 2c reporting had begun in April 2021, but the options side needed for a complete June delta-and-gamma reconstruction was not yet reportable to CAT.</w:t>
      </w:r>
    </w:p>
    <w:p>
      <w:pPr>
        <w:pStyle w:val="Callout"/>
        <w:keepLines/>
      </w:pPr>
      <w:r>
        <w:t>That is a genuine archival hole, not proof that records vanished. The June options trail must be rebuilt from options-exchange audit logs, OPRA transaction data, broker order memoranda and Blue Sheets, OCC member positions and exercise/assignment records, dealer risk books, and stock-hedge blotters. Any demand for 'the June options CAT file' asks for a file that did not exist.</w:t>
      </w:r>
    </w:p>
    <w:p>
      <w:pPr>
        <w:pStyle w:val="Source"/>
        <w:keepLines/>
      </w:pPr>
      <w:r>
        <w:t xml:space="preserve">Primary source: </w:t>
      </w:r>
      <w:hyperlink r:id="rId41">
        <w:r>
          <w:rPr>
            <w:color w:val="0563C1"/>
            <w:u w:val="single"/>
          </w:rPr>
          <w:t>CAT NMS Plan Q4 2021 Progress Report</w:t>
        </w:r>
      </w:hyperlink>
    </w:p>
    <w:p>
      <w:pPr>
        <w:pStyle w:val="Heading1"/>
        <w:keepNext/>
      </w:pPr>
      <w:r>
        <w:t>16. DTCC's portals: the receipt that the ledger exists</w:t>
      </w:r>
    </w:p>
    <w:p>
      <w:pPr/>
      <w:r>
        <w:t>DTCC's March 2, 2026 announcement and subsequent Important Notices do not prove misconduct in AMC. They prove something narrower and crucial: detailed clearing and settlement records exist in client-facing systems even when the public receives only aggregate consequences.</w:t>
      </w:r>
    </w:p>
    <w:tbl>
      <w:tblPr>
        <w:tblStyle w:val="TableGrid"/>
        <w:tblW w:type="auto" w:w="0"/>
        <w:tblLook w:firstColumn="1" w:firstRow="1" w:lastColumn="0" w:lastRow="0" w:noHBand="0" w:noVBand="1" w:val="04A0"/>
      </w:tblPr>
      <w:tblGrid>
        <w:gridCol w:w="3120"/>
        <w:gridCol w:w="3120"/>
        <w:gridCol w:w="3120"/>
      </w:tblGrid>
      <w:tr>
        <w:trPr>
          <w:cantSplit/>
        </w:trPr>
        <w:tc>
          <w:tcPr>
            <w:tcW w:type="dxa" w:w="2232"/>
            <w:vAlign w:val="center"/>
            <w:shd w:fill="1F4E78"/>
          </w:tcPr>
          <w:p>
            <w:r>
              <w:rPr>
                <w:b/>
                <w:color w:val="FFFFFF"/>
              </w:rPr>
            </w:r>
            <w:r>
              <w:rPr>
                <w:rFonts w:ascii="Aptos" w:hAnsi="Aptos"/>
                <w:b/>
                <w:color w:val="FFFFFF"/>
                <w:sz w:val="17"/>
              </w:rPr>
              <w:t>Document</w:t>
            </w:r>
          </w:p>
        </w:tc>
        <w:tc>
          <w:tcPr>
            <w:tcW w:type="dxa" w:w="5904"/>
            <w:vAlign w:val="center"/>
            <w:shd w:fill="1F4E78"/>
          </w:tcPr>
          <w:p>
            <w:r>
              <w:rPr>
                <w:b/>
                <w:color w:val="FFFFFF"/>
              </w:rPr>
            </w:r>
            <w:r>
              <w:rPr>
                <w:rFonts w:ascii="Aptos" w:hAnsi="Aptos"/>
                <w:b/>
                <w:color w:val="FFFFFF"/>
                <w:sz w:val="17"/>
              </w:rPr>
              <w:t>Records described</w:t>
            </w:r>
          </w:p>
        </w:tc>
        <w:tc>
          <w:tcPr>
            <w:tcW w:type="dxa" w:w="2376"/>
            <w:vAlign w:val="center"/>
            <w:shd w:fill="1F4E78"/>
          </w:tcPr>
          <w:p>
            <w:r>
              <w:rPr>
                <w:b/>
                <w:color w:val="FFFFFF"/>
              </w:rPr>
            </w:r>
            <w:r>
              <w:rPr>
                <w:rFonts w:ascii="Aptos" w:hAnsi="Aptos"/>
                <w:b/>
                <w:color w:val="FFFFFF"/>
                <w:sz w:val="17"/>
              </w:rPr>
              <w:t>Boundary</w:t>
            </w:r>
          </w:p>
        </w:tc>
      </w:tr>
      <w:tr>
        <w:trPr>
          <w:cantSplit/>
        </w:trPr>
        <w:tc>
          <w:tcPr>
            <w:tcW w:type="dxa" w:w="2232"/>
            <w:vAlign w:val="center"/>
            <w:shd w:fill="F4F7FA"/>
          </w:tcPr>
          <w:p>
            <w:r/>
            <w:r>
              <w:rPr>
                <w:rFonts w:ascii="Aptos" w:hAnsi="Aptos"/>
                <w:sz w:val="17"/>
              </w:rPr>
              <w:t>DTCC launch release</w:t>
            </w:r>
          </w:p>
        </w:tc>
        <w:tc>
          <w:tcPr>
            <w:tcW w:type="dxa" w:w="5904"/>
            <w:vAlign w:val="center"/>
            <w:shd w:fill="F4F7FA"/>
          </w:tcPr>
          <w:p>
            <w:r/>
            <w:r>
              <w:rPr>
                <w:rFonts w:ascii="Aptos" w:hAnsi="Aptos"/>
                <w:sz w:val="17"/>
              </w:rPr>
              <w:t>Historical NSCC/DTC clearing and settlement metrics, exceptions, industry benchmarks, customizable queries, and drilldowns from high-level metrics to individual transaction records.</w:t>
            </w:r>
          </w:p>
        </w:tc>
        <w:tc>
          <w:tcPr>
            <w:tcW w:type="dxa" w:w="2376"/>
            <w:vAlign w:val="center"/>
            <w:shd w:fill="F4F7FA"/>
          </w:tcPr>
          <w:p>
            <w:r/>
            <w:r>
              <w:rPr>
                <w:rFonts w:ascii="Aptos" w:hAnsi="Aptos"/>
                <w:sz w:val="17"/>
              </w:rPr>
              <w:t>Client portal; not a public participant ledger</w:t>
            </w:r>
          </w:p>
        </w:tc>
      </w:tr>
      <w:tr>
        <w:trPr>
          <w:cantSplit/>
        </w:trPr>
        <w:tc>
          <w:tcPr>
            <w:tcW w:type="dxa" w:w="2232"/>
            <w:vAlign w:val="center"/>
            <w:shd w:fill="FFFFFF"/>
          </w:tcPr>
          <w:p>
            <w:r/>
            <w:r>
              <w:rPr>
                <w:rFonts w:ascii="Aptos" w:hAnsi="Aptos"/>
                <w:sz w:val="17"/>
              </w:rPr>
              <w:t>Important Notice A9742</w:t>
            </w:r>
          </w:p>
        </w:tc>
        <w:tc>
          <w:tcPr>
            <w:tcW w:type="dxa" w:w="5904"/>
            <w:vAlign w:val="center"/>
            <w:shd w:fill="FFFFFF"/>
          </w:tcPr>
          <w:p>
            <w:r/>
            <w:r>
              <w:rPr>
                <w:rFonts w:ascii="Aptos" w:hAnsi="Aptos"/>
                <w:sz w:val="17"/>
              </w:rPr>
              <w:t>CNS positions, balance orders, projections, account summaries, midday projections, settlement activity, buy-in activity, and intraday ISO 15022 reports.</w:t>
            </w:r>
          </w:p>
        </w:tc>
        <w:tc>
          <w:tcPr>
            <w:tcW w:type="dxa" w:w="2376"/>
            <w:vAlign w:val="center"/>
            <w:shd w:fill="FFFFFF"/>
          </w:tcPr>
          <w:p>
            <w:r/>
            <w:r>
              <w:rPr>
                <w:rFonts w:ascii="Aptos" w:hAnsi="Aptos"/>
                <w:sz w:val="17"/>
              </w:rPr>
              <w:t>MyDTCC access and Super Access Coordinator provisioning</w:t>
            </w:r>
          </w:p>
        </w:tc>
      </w:tr>
      <w:tr>
        <w:trPr>
          <w:cantSplit/>
        </w:trPr>
        <w:tc>
          <w:tcPr>
            <w:tcW w:type="dxa" w:w="2232"/>
            <w:vAlign w:val="center"/>
            <w:shd w:fill="F4F7FA"/>
          </w:tcPr>
          <w:p>
            <w:r/>
            <w:r>
              <w:rPr>
                <w:rFonts w:ascii="Aptos" w:hAnsi="Aptos"/>
                <w:sz w:val="17"/>
              </w:rPr>
              <w:t>Important Notice A9751</w:t>
            </w:r>
          </w:p>
        </w:tc>
        <w:tc>
          <w:tcPr>
            <w:tcW w:type="dxa" w:w="5904"/>
            <w:vAlign w:val="center"/>
            <w:shd w:fill="F4F7FA"/>
          </w:tcPr>
          <w:p>
            <w:r/>
            <w:r>
              <w:rPr>
                <w:rFonts w:ascii="Aptos" w:hAnsi="Aptos"/>
                <w:sz w:val="17"/>
              </w:rPr>
              <w:t>Day/night cash reconciliation, settlement activity, positions, projections, receive/deliver activity, accounting, and buy-in reports.</w:t>
            </w:r>
          </w:p>
        </w:tc>
        <w:tc>
          <w:tcPr>
            <w:tcW w:type="dxa" w:w="2376"/>
            <w:vAlign w:val="center"/>
            <w:shd w:fill="F4F7FA"/>
          </w:tcPr>
          <w:p>
            <w:r/>
            <w:r>
              <w:rPr>
                <w:rFonts w:ascii="Aptos" w:hAnsi="Aptos"/>
                <w:sz w:val="17"/>
              </w:rPr>
              <w:t>Member data, not a public AMC reconstruction</w:t>
            </w:r>
          </w:p>
        </w:tc>
      </w:tr>
      <w:tr>
        <w:trPr>
          <w:cantSplit/>
        </w:trPr>
        <w:tc>
          <w:tcPr>
            <w:tcW w:type="dxa" w:w="2232"/>
            <w:vAlign w:val="center"/>
            <w:shd w:fill="FFFFFF"/>
          </w:tcPr>
          <w:p>
            <w:r/>
            <w:r>
              <w:rPr>
                <w:rFonts w:ascii="Aptos" w:hAnsi="Aptos"/>
                <w:sz w:val="17"/>
              </w:rPr>
              <w:t>Important Notice A9795</w:t>
            </w:r>
          </w:p>
        </w:tc>
        <w:tc>
          <w:tcPr>
            <w:tcW w:type="dxa" w:w="5904"/>
            <w:vAlign w:val="center"/>
            <w:shd w:fill="FFFFFF"/>
          </w:tcPr>
          <w:p>
            <w:r/>
            <w:r>
              <w:rPr>
                <w:rFonts w:ascii="Aptos" w:hAnsi="Aptos"/>
                <w:sz w:val="17"/>
              </w:rPr>
              <w:t>Testing and rollout of CSV reports when member data exists.</w:t>
            </w:r>
          </w:p>
        </w:tc>
        <w:tc>
          <w:tcPr>
            <w:tcW w:type="dxa" w:w="2376"/>
            <w:vAlign w:val="center"/>
            <w:shd w:fill="FFFFFF"/>
          </w:tcPr>
          <w:p>
            <w:r/>
            <w:r>
              <w:rPr>
                <w:rFonts w:ascii="Aptos" w:hAnsi="Aptos"/>
                <w:sz w:val="17"/>
              </w:rPr>
              <w:t>Confirms operational availability, not wrongdoing</w:t>
            </w:r>
          </w:p>
        </w:tc>
      </w:tr>
    </w:tbl>
    <w:p/>
    <w:p>
      <w:pPr>
        <w:pStyle w:val="Callout"/>
        <w:keepLines/>
      </w:pPr>
      <w:r>
        <w:t>This is the institutional version of the transparency problem: the public keeps receiving consequences without receiving the ledger. A regulator, court, congressional committee, or consenting member could request the June-period CNS positions, settlement activity, buy-ins, receive/deliver records, and exception detail needed to test the AMC theory. The portal announcement is the receipt that those categories of records are real—not the record itself.</w:t>
      </w:r>
    </w:p>
    <w:p>
      <w:pPr>
        <w:pStyle w:val="Source"/>
        <w:keepLines/>
      </w:pPr>
      <w:r>
        <w:t xml:space="preserve">Primary DTCC sources: </w:t>
      </w:r>
      <w:hyperlink r:id="rId42">
        <w:r>
          <w:rPr>
            <w:color w:val="0563C1"/>
            <w:u w:val="single"/>
          </w:rPr>
          <w:t>March 2 portal announcement</w:t>
        </w:r>
      </w:hyperlink>
      <w:r>
        <w:t xml:space="preserve">; </w:t>
      </w:r>
      <w:hyperlink r:id="rId43">
        <w:r>
          <w:rPr>
            <w:color w:val="0563C1"/>
            <w:u w:val="single"/>
          </w:rPr>
          <w:t>A9742</w:t>
        </w:r>
      </w:hyperlink>
      <w:r>
        <w:t xml:space="preserve">; </w:t>
      </w:r>
      <w:hyperlink r:id="rId44">
        <w:r>
          <w:rPr>
            <w:color w:val="0563C1"/>
            <w:u w:val="single"/>
          </w:rPr>
          <w:t>A9751</w:t>
        </w:r>
      </w:hyperlink>
      <w:r>
        <w:t xml:space="preserve">; </w:t>
      </w:r>
      <w:hyperlink r:id="rId45">
        <w:r>
          <w:rPr>
            <w:color w:val="0563C1"/>
            <w:u w:val="single"/>
          </w:rPr>
          <w:t>A9795</w:t>
        </w:r>
      </w:hyperlink>
    </w:p>
    <w:p>
      <w:pPr>
        <w:pStyle w:val="Heading1"/>
        <w:keepNext/>
      </w:pPr>
      <w:r>
        <w:t>17. Independent gamma evidence: supportive, not dispositive</w:t>
      </w:r>
    </w:p>
    <w:p>
      <w:pPr/>
      <w:r>
        <w:t>A March 2025 working paper, Seeking Gamma: Lessons from the Meme Frenzy, uses OptionMetrics and CRSP data to construct net-delta-volume and net-delta-open-interest proxies across meme stocks, including AMC. Its AMC series is consistent with gamma pressure being worthy of investigation.</w:t>
      </w:r>
    </w:p>
    <w:p>
      <w:pPr>
        <w:pStyle w:val="Callout"/>
        <w:keepLines/>
      </w:pPr>
      <w:r>
        <w:t>The paper does not observe the customer/dealer side of every June 2 contract or an actual dealer inventory and hedge blotter. It is independent corroboration for the mechanism, not participant-level proof that a measured number of hedge shares caused the $72.62 high.</w:t>
      </w:r>
    </w:p>
    <w:p>
      <w:pPr>
        <w:pStyle w:val="Source"/>
        <w:keepLines/>
      </w:pPr>
      <w:r>
        <w:t xml:space="preserve">Research source: </w:t>
      </w:r>
      <w:hyperlink r:id="rId46">
        <w:r>
          <w:rPr>
            <w:color w:val="0563C1"/>
            <w:u w:val="single"/>
          </w:rPr>
          <w:t>Seeking Gamma: Lessons from the Meme Frenzy</w:t>
        </w:r>
      </w:hyperlink>
    </w:p>
    <w:p>
      <w:pPr>
        <w:pStyle w:val="Heading1"/>
        <w:keepNext/>
      </w:pPr>
      <w:r>
        <w:t>18. Today's credit repair does not rewrite June 2021</w:t>
      </w:r>
    </w:p>
    <w:p>
      <w:pPr/>
      <w:r>
        <w:t>The attached credit discussion contains real 2026 progress, but it must not be back-projected into June 2021 price formation. S&amp;P Global Ratings upgraded AMC to B- from CCC+ with a stable outlook. AMC reported second-quarter 2026 revenue of $1.5967 billion, Adjusted EBITDA of $321.4 million, and free cash flow of $190.1 million. The six-month free-cash-flow figure was only $15.4 million, and the quarter still recorded an $11.4 million GAAP net loss.</w:t>
      </w:r>
    </w:p>
    <w:p>
      <w:pPr/>
      <w:r>
        <w:t>AMC also reported $16 million of annual cash-interest savings from second-quarter actions and an expected additional $51 million annual reduction from leverage-based pricing on roughly 75% of its debt, conditional on current leverage and benchmark rates. The $51 million is a contractual pricing effect described by AMC, not a savings amount caused by the rating upgrade. AMC said it did not anticipate material debt maturities before 2029.</w:t>
      </w:r>
    </w:p>
    <w:p>
      <w:pPr>
        <w:pStyle w:val="Callout"/>
        <w:keepLines/>
      </w:pPr>
      <w:r>
        <w:t>The honest conclusion is improvement, not transformation into investment grade and not retroactive proof of a 2021 fundamental valuation. B- remains speculative grade. A strong 2026 quarter and improved maturity runway can coexist with AMC's own contemporaneous statement that the June 2021 market price was driven by trading dynamics unrelated to fundamentals.</w:t>
      </w:r>
    </w:p>
    <w:p>
      <w:pPr>
        <w:pStyle w:val="Source"/>
        <w:keepLines/>
      </w:pPr>
      <w:r>
        <w:t xml:space="preserve">Current sources: </w:t>
      </w:r>
      <w:hyperlink r:id="rId47">
        <w:r>
          <w:rPr>
            <w:color w:val="0563C1"/>
            <w:u w:val="single"/>
          </w:rPr>
          <w:t>S&amp;P Global Ratings upgrade</w:t>
        </w:r>
      </w:hyperlink>
      <w:r>
        <w:t xml:space="preserve">; </w:t>
      </w:r>
      <w:hyperlink r:id="rId48">
        <w:r>
          <w:rPr>
            <w:color w:val="0563C1"/>
            <w:u w:val="single"/>
          </w:rPr>
          <w:t>AMC Q2 2026 SEC exhibit</w:t>
        </w:r>
      </w:hyperlink>
    </w:p>
    <w:p>
      <w:pPr>
        <w:pStyle w:val="Heading1"/>
        <w:keepNext/>
      </w:pPr>
      <w:r>
        <w:t>19. Evidence scoreboard</w:t>
      </w:r>
    </w:p>
    <w:tbl>
      <w:tblPr>
        <w:tblStyle w:val="TableGrid"/>
        <w:tblW w:type="dxa" w:w="9360"/>
        <w:jc w:val="left"/>
        <w:tblLayout w:type="fixed"/>
        <w:tblLook w:firstColumn="1" w:firstRow="1" w:lastColumn="0" w:lastRow="0" w:noHBand="0" w:noVBand="1" w:val="04A0"/>
        <w:tblInd w:type="dxa" w:w="120"/>
      </w:tblPr>
      <w:tblGrid>
        <w:gridCol w:w="2550"/>
        <w:gridCol w:w="5310"/>
        <w:gridCol w:w="1500"/>
      </w:tblGrid>
      <w:tr>
        <w:trPr>
          <w:cantSplit/>
          <w:trHeight w:hRule="auto"/>
          <w:tblHeader w:val="true"/>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Question</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Public-record answer</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Grade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Was June 2 a fundamental-only event?</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 AMC itself attributed recent volatility and market prices to trading dynamics unrelated to fundamentals and named options and hedging factors.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Were options central in scale?</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Yes. Approximately 4.6 million contracts traded, including about 2.8 million calls and 1.8 million puts.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dealer hedging cause the run?</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Plausible, but not quantified without trade direction, option series, dealer positioning, and hedge records.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Supported inference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AMC experience settlement stress afterward?</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Yes, but in two distinct episodes: an early June balance that rapidly cleared and a separate June 18-month-end cluster followed by the threshold-list episode.</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Does short-marked off-exchange volume equal open shorts?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 It is gross flow and can include market-making transactions closed intraday.</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 limitation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institutions hold material AMC options?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Yes. 13Fs disclose large long call and put rows, but omit shorts, written options, swaps, and complete hedges.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 incomplete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BlackRock report roughly as many shares as reported short interest?</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On June 30 its 48.917 million beneficial shares equaled about 92.4% of 52.940 million reported short shares.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 comparison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Does that prove BlackRock lent those shares?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 The 13G is not a securities-lending ledger.</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proven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an anti-options narrative exist?</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Yes. Public posts repeatedly promoted shares over options and described options as traps.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 examples</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that narrative suppress the squeeze?</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Possible mechanism, but neither the behavioral change nor price effect is quantified publicly.</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Open hypothesis</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the final-half-hour tape prove naked shorting or a ladder attack?</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 The pattern can justify a records request but does not identify conduct or participant.</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proven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the attached Grok exchange prove a fixed 2:00 clearing wall?</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 When asked for the ledger, the response admitted that it had no access and the pattern was circumstantial.</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proven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OCC acknowledge intraday options-risk capture problems?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Yes. Later rulemaking addressed peak intraday risk that end-of-day positions could miss.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 system issue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Did OCC identify an AMC culprit or June 2 margin call?</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proven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 FTX materials prove tokenized AMC existed in official claim records?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Yes.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Documented</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Do they prove backing failure or June price impact?</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Not proven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Was a named institutional short-call position caught in the run?</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Yes, according to contemporaneous Wall Street Journal reporting about Mudrick's $40 calls. The report is a strong named receipt, not a primary option blotter.</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Strong corroboration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Did the June 3 FTD balance come from June 2 trading?</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Not under T+2. June 3 maps to June 1; June 4 is the first settlement date capable of reflecting June 2 trades.</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Documented chronology</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Did CAT capture the June 2021 options order lifecycle?</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No. CAT Phase 2d options reporting entered production on December 13, 2021.</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Documented limitation</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 DTCC's 2026 materials prove detailed settlement ledgers exist?</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Yes. They identify positions, settlement activity, buy-ins, receive/deliver records, exceptions, and transaction drilldowns. They do not publish June AMC member data.</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Documented existence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Does the Seeking Gamma study prove AMC dealer hedge purchases?</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No. It supplies an independent options-based proxy consistent with gamma pressure but cannot observe the actual dealer book or hedge blotter.</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Corroborative, not dispositive</w:t>
            </w:r>
          </w:p>
        </w:tc>
      </w:tr>
      <w:tr>
        <w:trPr>
          <w:cantSplit/>
          <w:trHeight w:hRule="auto"/>
        </w:trPr>
        <w:tc>
          <w:tcPr>
            <w:tcW w:type="dxa" w:w="255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Does AMC's 2026 credit improvement explain the June 2021 high?</w:t>
            </w:r>
          </w:p>
        </w:tc>
        <w:tc>
          <w:tcPr>
            <w:tcW w:type="dxa" w:w="531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No. It documents current improvement. AMC's June 2021 filing remains the contemporaneous evidence about that price event.</w:t>
            </w:r>
          </w:p>
        </w:tc>
        <w:tc>
          <w:tcPr>
            <w:tcW w:type="dxa" w:w="15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Documented boundary</w:t>
            </w:r>
          </w:p>
        </w:tc>
      </w:tr>
    </w:tbl>
    <w:p>
      <w:pPr>
        <w:spacing w:before="0" w:after="40" w:line="240" w:lineRule="auto"/>
      </w:pPr>
    </w:p>
    <w:p>
      <w:pPr>
        <w:pStyle w:val="Heading1"/>
        <w:keepNext/>
      </w:pPr>
      <w:r>
        <w:t>20. The records that would settle the argument</w:t>
      </w:r>
    </w:p>
    <w:p>
      <w:pPr>
        <w:pStyle w:val="Heading2"/>
        <w:keepNext/>
      </w:pPr>
      <w:r>
        <w:rPr>
          <w:rFonts w:ascii="Calibri" w:hAnsi="Calibri"/>
          <w:b/>
          <w:color w:val="2E74B5"/>
          <w:sz w:val="26"/>
        </w:rPr>
        <w:t>Priority 1 - June 2 options and hedge reconstruction</w:t>
      </w:r>
    </w:p>
    <w:p>
      <w:pPr>
        <w:pStyle w:val="AMCNumber"/>
        <w:numPr>
          <w:ilvl w:val="0"/>
          <w:numId w:val="21"/>
        </w:numPr>
      </w:pPr>
      <w:r>
        <w:rPr>
          <w:rFonts w:ascii="Calibri" w:hAnsi="Calibri"/>
          <w:color w:val="111111"/>
          <w:sz w:val="22"/>
        </w:rPr>
        <w:t>OPRA transaction-level AMC option data for June 1-4, including series, side, price, size, opening/closing status, complex-order linkage, execution venue, and give-up or CMTA identifiers.</w:t>
      </w:r>
    </w:p>
    <w:p>
      <w:pPr>
        <w:pStyle w:val="AMCNumber"/>
        <w:numPr>
          <w:ilvl w:val="0"/>
          <w:numId w:val="21"/>
        </w:numPr>
      </w:pPr>
      <w:r>
        <w:t>Exchange audit trails, electronic Blue Sheets, broker order memoranda, and omnibus subledgers tying AMC option activity to stock hedge trades, account class, routing, capacity, and beneficial identifiers.</w:t>
      </w:r>
    </w:p>
    <w:p>
      <w:pPr>
        <w:pStyle w:val="AMCNumber"/>
        <w:numPr>
          <w:ilvl w:val="0"/>
          <w:numId w:val="21"/>
        </w:numPr>
      </w:pPr>
      <w:r>
        <w:rPr>
          <w:rFonts w:ascii="Calibri" w:hAnsi="Calibri"/>
          <w:color w:val="111111"/>
          <w:sz w:val="22"/>
        </w:rPr>
        <w:t>Market-maker AMC inventory, net delta, net gamma, vega, risk limits, and hedge blotters across strikes from approximately $40 through $73.</w:t>
      </w:r>
    </w:p>
    <w:p>
      <w:pPr>
        <w:pStyle w:val="AMCNumber"/>
        <w:numPr>
          <w:ilvl w:val="0"/>
          <w:numId w:val="21"/>
        </w:numPr>
      </w:pPr>
      <w:r>
        <w:rPr>
          <w:rFonts w:ascii="Calibri" w:hAnsi="Calibri"/>
          <w:color w:val="111111"/>
          <w:sz w:val="22"/>
        </w:rPr>
        <w:t>OCC clearing-member positions, exercises, assignments, allocations, intraday risk measures, collateral adjustments, and margin calls.</w:t>
      </w:r>
    </w:p>
    <w:p>
      <w:pPr>
        <w:pStyle w:val="Heading2"/>
        <w:keepNext/>
      </w:pPr>
      <w:r>
        <w:rPr>
          <w:rFonts w:ascii="Calibri" w:hAnsi="Calibri"/>
          <w:b/>
          <w:color w:val="2E74B5"/>
          <w:sz w:val="26"/>
        </w:rPr>
        <w:t>Priority 2 - Settlement and stock lending</w:t>
      </w:r>
    </w:p>
    <w:p>
      <w:pPr>
        <w:pStyle w:val="AMCNumber"/>
        <w:numPr>
          <w:ilvl w:val="0"/>
          <w:numId w:val="22"/>
        </w:numPr>
      </w:pPr>
      <w:r>
        <w:rPr>
          <w:rFonts w:ascii="Calibri" w:hAnsi="Calibri"/>
          <w:color w:val="111111"/>
          <w:sz w:val="22"/>
        </w:rPr>
        <w:t>NSCC participant-level Continuous Net Settlement fails, allocations, stock borrows, buy-ins, and closeouts from June 1 through July 9.</w:t>
      </w:r>
    </w:p>
    <w:p>
      <w:pPr>
        <w:pStyle w:val="AMCNumber"/>
        <w:numPr>
          <w:ilvl w:val="0"/>
          <w:numId w:val="22"/>
        </w:numPr>
      </w:pPr>
      <w:r>
        <w:rPr>
          <w:rFonts w:ascii="Calibri" w:hAnsi="Calibri"/>
          <w:color w:val="111111"/>
          <w:sz w:val="22"/>
        </w:rPr>
        <w:t>Locate tickets, source identity, quantity, reuse controls, short-sale markings, market-making exception codes, and Rule 204 closeout records.</w:t>
      </w:r>
    </w:p>
    <w:p>
      <w:pPr>
        <w:pStyle w:val="AMCNumber"/>
        <w:numPr>
          <w:ilvl w:val="0"/>
          <w:numId w:val="22"/>
        </w:numPr>
      </w:pPr>
      <w:r>
        <w:rPr>
          <w:rFonts w:ascii="Calibri" w:hAnsi="Calibri"/>
          <w:color w:val="111111"/>
          <w:sz w:val="22"/>
        </w:rPr>
        <w:t>Prime-broker and agent-lender AMC loan files: lender, borrower, quantity, date, recall, return, collateral, rebate, and settlement.</w:t>
      </w:r>
    </w:p>
    <w:p>
      <w:pPr>
        <w:pStyle w:val="AMCNumber"/>
        <w:numPr>
          <w:ilvl w:val="0"/>
          <w:numId w:val="22"/>
        </w:numPr>
      </w:pPr>
      <w:r>
        <w:rPr>
          <w:rFonts w:ascii="Calibri" w:hAnsi="Calibri"/>
          <w:color w:val="111111"/>
          <w:sz w:val="22"/>
        </w:rPr>
        <w:t>BlackRock fund-level AMC holdings and daily shares on loan, including borrower and recall history.</w:t>
      </w:r>
    </w:p>
    <w:p>
      <w:pPr>
        <w:pStyle w:val="Heading2"/>
        <w:keepNext/>
      </w:pPr>
      <w:r>
        <w:rPr>
          <w:rFonts w:ascii="Calibri" w:hAnsi="Calibri"/>
          <w:b/>
          <w:color w:val="2E74B5"/>
          <w:sz w:val="26"/>
        </w:rPr>
        <w:t>Priority 3 - Intraday execution and the final-half-hour tape</w:t>
      </w:r>
    </w:p>
    <w:p>
      <w:pPr>
        <w:pStyle w:val="AMCNumber"/>
        <w:numPr>
          <w:ilvl w:val="0"/>
          <w:numId w:val="23"/>
        </w:numPr>
      </w:pPr>
      <w:r>
        <w:rPr>
          <w:rFonts w:ascii="Calibri" w:hAnsi="Calibri"/>
          <w:color w:val="111111"/>
          <w:sz w:val="22"/>
        </w:rPr>
        <w:t>Consolidated trades and quotes with venue and aggressor classification.</w:t>
      </w:r>
    </w:p>
    <w:p>
      <w:pPr>
        <w:pStyle w:val="AMCNumber"/>
        <w:numPr>
          <w:ilvl w:val="0"/>
          <w:numId w:val="23"/>
        </w:numPr>
      </w:pPr>
      <w:r>
        <w:rPr>
          <w:rFonts w:ascii="Calibri" w:hAnsi="Calibri"/>
          <w:color w:val="111111"/>
          <w:sz w:val="22"/>
        </w:rPr>
        <w:t>NYSE closing-auction imbalance messages, order types, matched volume, and participant identifiers.</w:t>
      </w:r>
    </w:p>
    <w:p>
      <w:pPr>
        <w:pStyle w:val="AMCNumber"/>
        <w:numPr>
          <w:ilvl w:val="0"/>
          <w:numId w:val="23"/>
        </w:numPr>
      </w:pPr>
      <w:r>
        <w:rPr>
          <w:rFonts w:ascii="Calibri" w:hAnsi="Calibri"/>
          <w:color w:val="111111"/>
          <w:sz w:val="22"/>
        </w:rPr>
        <w:t>Electronic Blue Sheets for large sell programs and matched transactions.</w:t>
      </w:r>
    </w:p>
    <w:p>
      <w:pPr>
        <w:pStyle w:val="AMCNumber"/>
        <w:numPr>
          <w:ilvl w:val="0"/>
          <w:numId w:val="23"/>
        </w:numPr>
      </w:pPr>
      <w:r>
        <w:rPr>
          <w:rFonts w:ascii="Calibri" w:hAnsi="Calibri"/>
          <w:color w:val="111111"/>
          <w:sz w:val="22"/>
        </w:rPr>
        <w:t>Broker omnibus subledgers showing customer flow, dealer principal flow, internalization, and end-of-day inventory.</w:t>
      </w:r>
    </w:p>
    <w:p>
      <w:pPr>
        <w:pStyle w:val="AMCNumber"/>
        <w:numPr>
          <w:ilvl w:val="0"/>
          <w:numId w:val="23"/>
        </w:numPr>
      </w:pPr>
      <w:r>
        <w:rPr>
          <w:rFonts w:ascii="Calibri" w:hAnsi="Calibri"/>
          <w:color w:val="111111"/>
          <w:sz w:val="22"/>
        </w:rPr>
        <w:t>Robinhood and other retail-broker AMC Rule 606 routing and wholesaler execution records.</w:t>
      </w:r>
    </w:p>
    <w:p>
      <w:pPr>
        <w:pStyle w:val="Heading2"/>
        <w:keepNext/>
      </w:pPr>
      <w:r>
        <w:rPr>
          <w:rFonts w:ascii="Calibri" w:hAnsi="Calibri"/>
          <w:b/>
          <w:color w:val="2E74B5"/>
          <w:sz w:val="26"/>
        </w:rPr>
        <w:t>Priority 4 - January precedent</w:t>
      </w:r>
    </w:p>
    <w:p>
      <w:pPr>
        <w:pStyle w:val="AMCNumber"/>
        <w:numPr>
          <w:ilvl w:val="0"/>
          <w:numId w:val="24"/>
        </w:numPr>
      </w:pPr>
      <w:r>
        <w:rPr>
          <w:rFonts w:ascii="Calibri" w:hAnsi="Calibri"/>
          <w:color w:val="111111"/>
          <w:sz w:val="22"/>
        </w:rPr>
        <w:t>Identity, MPID, correspondent code, orders, routes, manual-correction ticket, and NSCC entry for Apex's approximately $385 million paired AMC trade.</w:t>
      </w:r>
    </w:p>
    <w:p>
      <w:pPr>
        <w:pStyle w:val="AMCNumber"/>
        <w:numPr>
          <w:ilvl w:val="0"/>
          <w:numId w:val="24"/>
        </w:numPr>
      </w:pPr>
      <w:r>
        <w:rPr>
          <w:rFonts w:ascii="Calibri" w:hAnsi="Calibri"/>
          <w:color w:val="111111"/>
          <w:sz w:val="22"/>
        </w:rPr>
        <w:t>NSCC symbol-level inputs behind Robinhood's and Apex's AMC collateral charges.</w:t>
      </w:r>
    </w:p>
    <w:p>
      <w:pPr>
        <w:pStyle w:val="AMCNumber"/>
        <w:numPr>
          <w:ilvl w:val="0"/>
          <w:numId w:val="24"/>
        </w:numPr>
      </w:pPr>
      <w:r>
        <w:rPr>
          <w:rFonts w:ascii="Calibri" w:hAnsi="Calibri"/>
          <w:color w:val="111111"/>
          <w:sz w:val="22"/>
        </w:rPr>
        <w:t>Robinhood's complete restriction decision log and communications with NSCC, market makers, regulators, and financing sources.</w:t>
      </w:r>
    </w:p>
    <w:p>
      <w:pPr>
        <w:pStyle w:val="Heading2"/>
        <w:keepNext/>
      </w:pPr>
      <w:r>
        <w:rPr>
          <w:rFonts w:ascii="Calibri" w:hAnsi="Calibri"/>
          <w:b/>
          <w:color w:val="2E74B5"/>
          <w:sz w:val="26"/>
        </w:rPr>
        <w:t>Priority 5 - Narrative impact</w:t>
      </w:r>
    </w:p>
    <w:p>
      <w:pPr>
        <w:pStyle w:val="AMCNumber"/>
        <w:numPr>
          <w:ilvl w:val="0"/>
          <w:numId w:val="25"/>
        </w:numPr>
      </w:pPr>
      <w:r>
        <w:rPr>
          <w:rFonts w:ascii="Calibri" w:hAnsi="Calibri"/>
          <w:color w:val="111111"/>
          <w:sz w:val="22"/>
        </w:rPr>
        <w:t>Archived post corpus with timestamp, reach, engagement, account age, network propagation, deletion, and cross-platform reuse.</w:t>
      </w:r>
    </w:p>
    <w:p>
      <w:pPr>
        <w:pStyle w:val="AMCNumber"/>
        <w:numPr>
          <w:ilvl w:val="0"/>
          <w:numId w:val="25"/>
        </w:numPr>
      </w:pPr>
      <w:r>
        <w:rPr>
          <w:rFonts w:ascii="Calibri" w:hAnsi="Calibri"/>
          <w:color w:val="111111"/>
          <w:sz w:val="22"/>
        </w:rPr>
        <w:t>Retail option order flow before and after major anti-options messages, controlled for price, volatility, expiration, and market-wide conditions.</w:t>
      </w:r>
    </w:p>
    <w:p>
      <w:pPr>
        <w:pStyle w:val="AMCNumber"/>
        <w:numPr>
          <w:ilvl w:val="0"/>
          <w:numId w:val="25"/>
        </w:numPr>
      </w:pPr>
      <w:r>
        <w:rPr>
          <w:rFonts w:ascii="Calibri" w:hAnsi="Calibri"/>
          <w:color w:val="111111"/>
          <w:sz w:val="22"/>
        </w:rPr>
        <w:t>Dealer gamma and stock hedge estimates built from participant-resolved data rather than public open-interest assumptions.</w:t>
      </w:r>
    </w:p>
    <w:p>
      <w:pPr>
        <w:pStyle w:val="Heading2"/>
        <w:keepNext/>
      </w:pPr>
      <w:r>
        <w:rPr>
          <w:rFonts w:ascii="Calibri" w:hAnsi="Calibri"/>
          <w:b/>
          <w:color w:val="2E74B5"/>
          <w:sz w:val="26"/>
        </w:rPr>
        <w:t>Priority 6 - Tokenized backing</w:t>
      </w:r>
    </w:p>
    <w:p>
      <w:pPr>
        <w:pStyle w:val="AMCNumber"/>
        <w:numPr>
          <w:ilvl w:val="0"/>
          <w:numId w:val="26"/>
        </w:numPr>
      </w:pPr>
      <w:r>
        <w:rPr>
          <w:rFonts w:ascii="Calibri" w:hAnsi="Calibri"/>
          <w:color w:val="111111"/>
          <w:sz w:val="22"/>
        </w:rPr>
        <w:t>FTX/CM-Equity/Binance Tokenized Stocks Agreements.</w:t>
      </w:r>
    </w:p>
    <w:p>
      <w:pPr>
        <w:pStyle w:val="AMCNumber"/>
        <w:numPr>
          <w:ilvl w:val="0"/>
          <w:numId w:val="26"/>
        </w:numPr>
      </w:pPr>
      <w:r>
        <w:rPr>
          <w:rFonts w:ascii="Calibri" w:hAnsi="Calibri"/>
          <w:color w:val="111111"/>
          <w:sz w:val="22"/>
        </w:rPr>
        <w:t>Issuance, custody, backing, redemption, and collateral schedules for AMC, APEAMC, and AMC-1230.</w:t>
      </w:r>
    </w:p>
    <w:p>
      <w:pPr>
        <w:pStyle w:val="AMCNumber"/>
        <w:numPr>
          <w:ilvl w:val="0"/>
          <w:numId w:val="26"/>
        </w:numPr>
      </w:pPr>
      <w:r>
        <w:rPr>
          <w:rFonts w:ascii="Calibri" w:hAnsi="Calibri"/>
          <w:color w:val="111111"/>
          <w:sz w:val="22"/>
        </w:rPr>
        <w:t>Records connecting or excluding those instruments from stock lending, locates, swaps, or U.S. equity settlement.</w:t>
      </w:r>
    </w:p>
    <w:p>
      <w:pPr>
        <w:pStyle w:val="Heading1"/>
        <w:keepNext/>
      </w:pPr>
      <w:r>
        <w:t>21. Questions for the panel</w:t>
      </w:r>
    </w:p>
    <w:p>
      <w:pPr>
        <w:pStyle w:val="AMCNumber"/>
        <w:numPr>
          <w:ilvl w:val="0"/>
          <w:numId w:val="27"/>
        </w:numPr>
      </w:pPr>
      <w:r>
        <w:rPr>
          <w:rFonts w:ascii="Calibri" w:hAnsi="Calibri"/>
          <w:color w:val="111111"/>
          <w:sz w:val="22"/>
        </w:rPr>
        <w:t>If AMC itself said the move was unrelated to fundamentals and named options and hedging, why is a fundamental-only rewrite still treated as acceptable?</w:t>
      </w:r>
    </w:p>
    <w:p>
      <w:pPr>
        <w:pStyle w:val="AMCNumber"/>
        <w:numPr>
          <w:ilvl w:val="0"/>
          <w:numId w:val="27"/>
        </w:numPr>
      </w:pPr>
      <w:r>
        <w:rPr>
          <w:rFonts w:ascii="Calibri" w:hAnsi="Calibri"/>
          <w:color w:val="111111"/>
          <w:sz w:val="22"/>
        </w:rPr>
        <w:t>What can 4.6 million contracts prove, and what can they not prove without trade direction?</w:t>
      </w:r>
    </w:p>
    <w:p>
      <w:pPr>
        <w:pStyle w:val="AMCNumber"/>
        <w:numPr>
          <w:ilvl w:val="0"/>
          <w:numId w:val="27"/>
        </w:numPr>
      </w:pPr>
      <w:r>
        <w:rPr>
          <w:rFonts w:ascii="Calibri" w:hAnsi="Calibri"/>
          <w:color w:val="111111"/>
          <w:sz w:val="22"/>
        </w:rPr>
        <w:t>What data would distinguish customer call buying from market makers buying calls?</w:t>
      </w:r>
    </w:p>
    <w:p>
      <w:pPr>
        <w:pStyle w:val="AMCNumber"/>
        <w:numPr>
          <w:ilvl w:val="0"/>
          <w:numId w:val="27"/>
        </w:numPr>
      </w:pPr>
      <w:r>
        <w:rPr>
          <w:rFonts w:ascii="Calibri" w:hAnsi="Calibri"/>
          <w:color w:val="111111"/>
          <w:sz w:val="22"/>
        </w:rPr>
        <w:t>If call demand later fell, what happens to dealer hedge demand around concentrated strikes?</w:t>
      </w:r>
    </w:p>
    <w:p>
      <w:pPr>
        <w:pStyle w:val="AMCNumber"/>
        <w:numPr>
          <w:ilvl w:val="0"/>
          <w:numId w:val="27"/>
        </w:numPr>
      </w:pPr>
      <w:r>
        <w:rPr>
          <w:rFonts w:ascii="Calibri" w:hAnsi="Calibri"/>
          <w:color w:val="111111"/>
          <w:sz w:val="22"/>
        </w:rPr>
        <w:t>Why did options-risk education become options prohibition?</w:t>
      </w:r>
    </w:p>
    <w:p>
      <w:pPr>
        <w:pStyle w:val="AMCNumber"/>
        <w:numPr>
          <w:ilvl w:val="0"/>
          <w:numId w:val="27"/>
        </w:numPr>
      </w:pPr>
      <w:r>
        <w:rPr>
          <w:rFonts w:ascii="Calibri" w:hAnsi="Calibri"/>
          <w:color w:val="111111"/>
          <w:sz w:val="22"/>
        </w:rPr>
        <w:t>What caused the aggregate FTD balance to fall from 2.249 million to 41,296 shares?</w:t>
      </w:r>
    </w:p>
    <w:p>
      <w:pPr>
        <w:pStyle w:val="AMCNumber"/>
        <w:numPr>
          <w:ilvl w:val="0"/>
          <w:numId w:val="27"/>
        </w:numPr>
      </w:pPr>
      <w:r>
        <w:rPr>
          <w:rFonts w:ascii="Calibri" w:hAnsi="Calibri"/>
          <w:color w:val="111111"/>
          <w:sz w:val="22"/>
        </w:rPr>
        <w:t>Which participants generated the June threshold balances?</w:t>
      </w:r>
    </w:p>
    <w:p>
      <w:pPr>
        <w:pStyle w:val="AMCNumber"/>
        <w:numPr>
          <w:ilvl w:val="0"/>
          <w:numId w:val="27"/>
        </w:numPr>
      </w:pPr>
      <w:r>
        <w:rPr>
          <w:rFonts w:ascii="Calibri" w:hAnsi="Calibri"/>
          <w:color w:val="111111"/>
          <w:sz w:val="22"/>
        </w:rPr>
        <w:t>What portion of late-day sell-classified flow came from the closing auction, dealer hedging, internalization, short sales, or genuine long sellers?</w:t>
      </w:r>
    </w:p>
    <w:p>
      <w:pPr>
        <w:pStyle w:val="AMCNumber"/>
        <w:numPr>
          <w:ilvl w:val="0"/>
          <w:numId w:val="27"/>
        </w:numPr>
      </w:pPr>
      <w:r>
        <w:rPr>
          <w:rFonts w:ascii="Calibri" w:hAnsi="Calibri"/>
          <w:color w:val="111111"/>
          <w:sz w:val="22"/>
        </w:rPr>
        <w:t>Why can the public see BlackRock beneficial ownership but not a fund-level AMC lending ledger?</w:t>
      </w:r>
    </w:p>
    <w:p>
      <w:pPr>
        <w:pStyle w:val="AMCNumber"/>
        <w:numPr>
          <w:ilvl w:val="0"/>
          <w:numId w:val="27"/>
        </w:numPr>
      </w:pPr>
      <w:r>
        <w:rPr>
          <w:rFonts w:ascii="Calibri" w:hAnsi="Calibri"/>
          <w:color w:val="111111"/>
          <w:sz w:val="22"/>
        </w:rPr>
        <w:t>Which OCC member carried the largest intraday AMC options exposure on June 2?</w:t>
      </w:r>
    </w:p>
    <w:p>
      <w:pPr>
        <w:pStyle w:val="AMCNumber"/>
        <w:numPr>
          <w:ilvl w:val="0"/>
          <w:numId w:val="27"/>
        </w:numPr>
      </w:pPr>
      <w:r>
        <w:rPr>
          <w:rFonts w:ascii="Calibri" w:hAnsi="Calibri"/>
          <w:color w:val="111111"/>
          <w:sz w:val="22"/>
        </w:rPr>
        <w:t>What would falsify our theory?</w:t>
      </w:r>
    </w:p>
    <w:p>
      <w:pPr>
        <w:pStyle w:val="AMCNumber"/>
      </w:pPr>
      <w:r>
        <w:t>12. Given that June options were not yet in CAT, which exchanges, brokers, OCC members, and dealers retain the June 1-4 audit trail?</w:t>
      </w:r>
    </w:p>
    <w:p>
      <w:pPr>
        <w:pStyle w:val="AMCNumber"/>
      </w:pPr>
      <w:r>
        <w:t>13. Which institution or market maker was counterparty to the short-call positions that became stressed as AMC crossed $40?</w:t>
      </w:r>
    </w:p>
    <w:p>
      <w:pPr>
        <w:pStyle w:val="AMCNumber"/>
      </w:pPr>
      <w:r>
        <w:t>14. Will DTCC or a regulator release participant-resolved CNS positions, settlement activity, buy-ins, and receive/deliver records for the June threshold episode?</w:t>
      </w:r>
    </w:p>
    <w:p>
      <w:pPr>
        <w:pStyle w:val="AMCNumber"/>
      </w:pPr>
      <w:r>
        <w:t>15. What evidence would connect—or definitively disconnect—the early FTD episode from the June 2 options event?</w:t>
      </w:r>
    </w:p>
    <w:p>
      <w:pPr>
        <w:pStyle w:val="AMCNumber"/>
      </w:pPr>
      <w:r>
        <w:t>16. Can retail option-flow changes after the anti-options posts be measured against volatility, price, expiration, and broader-market controls?</w:t>
      </w:r>
    </w:p>
    <w:p>
      <w:pPr/>
      <w:r>
        <w:rPr>
          <w:rFonts w:ascii="Calibri" w:hAnsi="Calibri"/>
          <w:color w:val="111111"/>
          <w:sz w:val="22"/>
        </w:rPr>
        <w:t>That last question matters. A serious investigation must be capable of finding lawful market making, ordinary hedging, compliant locates, timely closeouts, normal closing-auction flow, and properly backed instruments. The purpose of obtaining the records is not to force the data to agree with us. It is to make the original ledger answer the question.</w:t>
      </w:r>
    </w:p>
    <w:p>
      <w:pPr>
        <w:pStyle w:val="Heading1"/>
        <w:keepNext/>
      </w:pPr>
      <w:r>
        <w:rPr>
          <w:rFonts w:ascii="Calibri" w:hAnsi="Calibri"/>
          <w:b/>
          <w:color w:val="2E74B5"/>
          <w:sz w:val="32"/>
        </w:rPr>
        <w:t>Final word</w:t>
      </w:r>
    </w:p>
    <w:p>
      <w:pPr/>
      <w:r>
        <w:rPr>
          <w:rFonts w:ascii="Calibri" w:hAnsi="Calibri"/>
          <w:color w:val="111111"/>
          <w:sz w:val="22"/>
        </w:rPr>
        <w:t>Stop rewriting June 2021 as a fundamental victory. AMC's own filing says the opposite. Stop pretending 4.6 million options contracts were a decorative side story. Stop treating the discussion of delta, gamma, hedging, clearing, and settlement as an attack on shareholders.</w:t>
      </w:r>
    </w:p>
    <w:p>
      <w:pPr/>
      <w:r>
        <w:rPr>
          <w:rFonts w:ascii="Calibri" w:hAnsi="Calibri"/>
          <w:color w:val="111111"/>
          <w:sz w:val="22"/>
        </w:rPr>
        <w:t>This investigation does not tell anyone to buy an option. It tells the audience to stop accepting a market story with half the market removed.</w:t>
      </w:r>
    </w:p>
    <w:p>
      <w:pPr/>
      <w:r>
        <w:rPr>
          <w:rFonts w:ascii="Calibri" w:hAnsi="Calibri"/>
          <w:color w:val="111111"/>
          <w:sz w:val="22"/>
        </w:rPr>
        <w:t>Shares mattered. Options mattered. Short interest mattered. Dealer hedging mattered. Clearing collateral mattered. FTDs mattered. Off-exchange routing mattered. Share issuance mattered. Fundamentals mattered. None of those facts cancels the others.</w:t>
      </w:r>
    </w:p>
    <w:p>
      <w:pPr/>
      <w:r>
        <w:rPr>
          <w:rFonts w:ascii="Calibri" w:hAnsi="Calibri"/>
          <w:color w:val="111111"/>
          <w:sz w:val="22"/>
        </w:rPr>
        <w:t>The mistake was turning a complex market-structure event into a loyalty test: shares good, options bad; fundamentals good, plumbing forbidden; questions good only when they point at the approved villain.</w:t>
      </w:r>
    </w:p>
    <w:p>
      <w:pPr/>
      <w:r>
        <w:rPr>
          <w:rFonts w:ascii="Calibri" w:hAnsi="Calibri"/>
          <w:color w:val="111111"/>
          <w:sz w:val="22"/>
        </w:rPr>
        <w:t>James and Matt's combined research points to a better standard:</w:t>
      </w:r>
    </w:p>
    <w:p>
      <w:pPr>
        <w:pStyle w:val="Callout"/>
        <w:shd w:fill="F4F6F9"/>
        <w:keepLines/>
        <w:pBdr>
          <w:left w:val="single" w:sz="18" w:space="8" w:color="2E74B5"/>
        </w:pBdr>
      </w:pPr>
      <w:r>
        <w:rPr>
          <w:rFonts w:ascii="Calibri" w:hAnsi="Calibri"/>
          <w:b/>
          <w:color w:val="0B2545"/>
          <w:sz w:val="22"/>
        </w:rPr>
        <w:t>Show the document. Grade the proof. State the limitation. Name the missing record. Keep digging.</w:t>
      </w:r>
    </w:p>
    <w:p>
      <w:pPr/>
      <w:r>
        <w:rPr>
          <w:rFonts w:ascii="Calibri" w:hAnsi="Calibri"/>
          <w:color w:val="111111"/>
          <w:sz w:val="22"/>
        </w:rPr>
        <w:t>This is not shares versus options. It is not hope versus pessimism. It is evidence versus a narrative that persuaded a community born from market structure to stop examining market structure.</w:t>
      </w:r>
    </w:p>
    <w:p>
      <w:pPr/>
      <w:r>
        <w:t>The public keeps receiving consequences without receiving the ledger. June is not gone; the ledger is incomplete.</w:t>
      </w:r>
    </w:p>
    <w:p>
      <w:pPr>
        <w:pStyle w:val="Heading1"/>
        <w:keepNext/>
        <w:pageBreakBefore/>
      </w:pPr>
      <w:r>
        <w:rPr>
          <w:rFonts w:ascii="Calibri" w:hAnsi="Calibri"/>
          <w:b/>
          <w:color w:val="2E74B5"/>
          <w:sz w:val="32"/>
        </w:rPr>
        <w:t>Appendix A - Consolidated upload register</w:t>
      </w:r>
    </w:p>
    <w:p>
      <w:pPr/>
      <w:r>
        <w:t>This report consolidates, rather than reproduces, the eleven source files provided across the Financial Smackdown work:</w:t>
      </w:r>
    </w:p>
    <w:tbl>
      <w:tblPr>
        <w:tblStyle w:val="TableGrid"/>
        <w:tblW w:type="dxa" w:w="9360"/>
        <w:jc w:val="left"/>
        <w:tblLayout w:type="fixed"/>
        <w:tblLook w:firstColumn="1" w:firstRow="1" w:lastColumn="0" w:lastRow="0" w:noHBand="0" w:noVBand="1" w:val="04A0"/>
        <w:tblInd w:type="dxa" w:w="120"/>
      </w:tblPr>
      <w:tblGrid>
        <w:gridCol w:w="3000"/>
        <w:gridCol w:w="6360"/>
      </w:tblGrid>
      <w:tr>
        <w:trPr>
          <w:cantSplit/>
          <w:trHeight w:hRule="auto"/>
          <w:tblHeader w:val="true"/>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Uploaded source</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shd w:fill="F4F6F9"/>
            <w:tcMar>
              <w:top w:w="80" w:type="dxa"/>
              <w:bottom w:w="80" w:type="dxa"/>
              <w:start w:w="120" w:type="dxa"/>
              <w:end w:w="120" w:type="dxa"/>
            </w:tcMar>
          </w:tcPr>
          <w:p>
            <w:pPr>
              <w:pStyle w:val="TableText"/>
              <w:jc w:val="center"/>
            </w:pPr>
            <w:r>
              <w:rPr>
                <w:rFonts w:ascii="Calibri" w:hAnsi="Calibri"/>
                <w:b/>
                <w:color w:val="0B2545"/>
                <w:sz w:val="17"/>
              </w:rPr>
              <w:t>Material carried into this report</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AMC_WHERE_DID_JUNE_GO_Ape_Cage_Report.docx</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January clearing precedent, $385 million trade, 42-day ledger, Citadel distinctions, FTD and off-exchange analysis, missing-record demands, editorial evidence rule.</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AMC_Ape_Cage_Missing_June_Live_Report.docx</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Broadcast voice, show sequencing, "one market, two sets of rules" framing, and a concise live explanation of the June settlement record.</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AMC_Master_Evidence_Audit_Phase_1.md</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Verified evidence lanes, current short-interest reconciliation, float expansion, institutional and tokenization boundaries, and source discipline.</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AMC_Essential_Connections_Dossier_Phase_1.md</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Connection matrix, PEAK6 candidate analysis, Citadel 13F figures, June transaction bridge, and records inventory.</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 Dumb Money Found the Receipts, and Now the Plumbing Looks Nervous.docx</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OCC intraday-risk analysis, FTX/tokenized-stock lane, evidence-scoreboard format, hard-cut show discipline, and final-word voice.</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AMC_Ape_Cage_Case_File_001.docx</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Receipt-by-receipt proof grading, OCC proposal/approval distinctions, FTX document-status corrections, and missing-record logic.</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Pasted text.txt</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Live-script foundation for the January-to-June narrative, Citadel/Robinhood contact, FTD sequence, off-exchange volume, and reportable conclusions.</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i/>
                <w:color w:val="111111"/>
                <w:sz w:val="17"/>
              </w:rPr>
              <w:t>Pasted text(75).txt</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pPr>
              <w:pStyle w:val="TableText"/>
              <w:jc w:val="left"/>
            </w:pPr>
            <w:r>
              <w:rPr>
                <w:rFonts w:ascii="Calibri" w:hAnsi="Calibri"/>
                <w:color w:val="111111"/>
                <w:sz w:val="17"/>
              </w:rPr>
              <w:t>The James-Grok exchange about Moomoo flow, the 11:30/2:00 timing theory, the unsupported "2:00 clearing wall" explanation, and James's decisive demand for the actual trading and collateral ledgers.</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Pasted text(76).txt</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The Google exchange supplying the Moomoo flow observation, Matt's timing questions, and the demand to distinguish tape patterns from actual clearing rules.</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Pasted text(77).txt</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A duplicate/continuation of the Google exchange used to cross-check the 11:30 and 2:00 theory without adopting its unsupported clearing-wall claims.</w:t>
            </w:r>
          </w:p>
        </w:tc>
      </w:tr>
      <w:tr>
        <w:trPr>
          <w:cantSplit/>
          <w:trHeight w:hRule="auto"/>
        </w:trPr>
        <w:tc>
          <w:tcPr>
            <w:tcW w:type="dxa" w:w="300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Pasted text(78).txt</w:t>
            </w:r>
          </w:p>
        </w:tc>
        <w:tc>
          <w:tcPr>
            <w:tcW w:type="dxa" w:w="6360"/>
            <w:vAlign w:val="center"/>
            <w:tcBorders>
              <w:top w:val="single" w:sz="5" w:space="0" w:color="C9D1DA"/>
              <w:left w:val="single" w:sz="5" w:space="0" w:color="C9D1DA"/>
              <w:bottom w:val="single" w:sz="5" w:space="0" w:color="C9D1DA"/>
              <w:right w:val="single" w:sz="5" w:space="0" w:color="C9D1DA"/>
              <w:insideH w:val="single" w:sz="5" w:space="0" w:color="C9D1DA"/>
              <w:insideV w:val="single" w:sz="5" w:space="0" w:color="C9D1DA"/>
            </w:tcBorders>
            <w:tcMar>
              <w:top w:w="80" w:type="dxa"/>
              <w:bottom w:w="80" w:type="dxa"/>
              <w:start w:w="120" w:type="dxa"/>
              <w:end w:w="120" w:type="dxa"/>
            </w:tcMar>
          </w:tcPr>
          <w:p>
            <w:r/>
            <w:r>
              <w:rPr>
                <w:rFonts w:ascii="Aptos" w:hAnsi="Aptos"/>
                <w:sz w:val="17"/>
              </w:rPr>
              <w:t>The 2026 credit and operating-performance claims, audited here against S&amp;P's upgrade and AMC's SEC-filed Q2 2026 results.</w:t>
            </w:r>
          </w:p>
        </w:tc>
      </w:tr>
    </w:tbl>
    <w:p>
      <w:pPr>
        <w:spacing w:before="0" w:after="40" w:line="240" w:lineRule="auto"/>
      </w:pPr>
    </w:p>
    <w:p>
      <w:pPr/>
      <w:r>
        <w:t>The newer material supplies the missing narrative and verification layers: the 4.6 million-contract June 2 event, dealer hedging, Mudrick's reported short-call loss, representative anti-options posts, the corrected two-episode FTD chronology, the CAT options gap, DTCC's client-only analytics portals, BlackRock's 2026 ownership filing, the intraday buy/sell-imbalance hypothesis, and the bounded 2026 credit update.</w:t>
      </w:r>
    </w:p>
    <w:p>
      <w:pPr>
        <w:pStyle w:val="Heading1"/>
        <w:keepNext/>
        <w:pageBreakBefore/>
      </w:pPr>
      <w:r>
        <w:rPr>
          <w:rFonts w:ascii="Calibri" w:hAnsi="Calibri"/>
          <w:b/>
          <w:color w:val="2E74B5"/>
          <w:sz w:val="32"/>
        </w:rPr>
        <w:t>Appendix B - Selected primary sources</w:t>
      </w:r>
    </w:p>
    <w:p>
      <w:pPr>
        <w:pStyle w:val="AMCBullet"/>
        <w:numPr>
          <w:ilvl w:val="0"/>
          <w:numId w:val="28"/>
        </w:numPr>
      </w:pPr>
      <w:hyperlink r:id="rId13">
        <w:r>
          <w:rPr>
            <w:rFonts w:ascii="Calibri" w:hAnsi="Calibri"/>
            <w:color w:val="2E74B5"/>
            <w:u w:val="single"/>
            <w:sz w:val="22"/>
            <w:szCs w:val="22"/>
          </w:rPr>
          <w:t>AMC June 3, 2021 prospectus</w:t>
        </w:r>
      </w:hyperlink>
    </w:p>
    <w:p>
      <w:pPr>
        <w:pStyle w:val="AMCBullet"/>
        <w:numPr>
          <w:ilvl w:val="0"/>
          <w:numId w:val="28"/>
        </w:numPr>
      </w:pPr>
      <w:hyperlink r:id="rId14">
        <w:r>
          <w:rPr>
            <w:rFonts w:ascii="Calibri" w:hAnsi="Calibri"/>
            <w:color w:val="2E74B5"/>
            <w:u w:val="single"/>
            <w:sz w:val="22"/>
            <w:szCs w:val="22"/>
          </w:rPr>
          <w:t>Reuters, AMC's June 2 run and 4.6 million options contracts</w:t>
        </w:r>
      </w:hyperlink>
    </w:p>
    <w:p>
      <w:pPr>
        <w:pStyle w:val="AMCBullet"/>
        <w:numPr>
          <w:ilvl w:val="0"/>
          <w:numId w:val="28"/>
        </w:numPr>
      </w:pPr>
      <w:hyperlink r:id="rId15">
        <w:r>
          <w:rPr>
            <w:rFonts w:ascii="Calibri" w:hAnsi="Calibri"/>
            <w:color w:val="2E74B5"/>
            <w:u w:val="single"/>
            <w:sz w:val="22"/>
            <w:szCs w:val="22"/>
          </w:rPr>
          <w:t>Barron's, June 2 call and put volume</w:t>
        </w:r>
      </w:hyperlink>
    </w:p>
    <w:p>
      <w:pPr>
        <w:pStyle w:val="AMCBullet"/>
        <w:numPr>
          <w:ilvl w:val="0"/>
          <w:numId w:val="28"/>
        </w:numPr>
      </w:pPr>
      <w:hyperlink r:id="rId16">
        <w:r>
          <w:rPr>
            <w:rFonts w:ascii="Calibri" w:hAnsi="Calibri"/>
            <w:color w:val="2E74B5"/>
            <w:u w:val="single"/>
            <w:sz w:val="22"/>
            <w:szCs w:val="22"/>
          </w:rPr>
          <w:t>SEC staff report on equity and options market structure</w:t>
        </w:r>
      </w:hyperlink>
    </w:p>
    <w:p>
      <w:pPr>
        <w:pStyle w:val="AMCBullet"/>
        <w:numPr>
          <w:ilvl w:val="0"/>
          <w:numId w:val="28"/>
        </w:numPr>
      </w:pPr>
      <w:hyperlink r:id="rId17">
        <w:r>
          <w:rPr>
            <w:rFonts w:ascii="Calibri" w:hAnsi="Calibri"/>
            <w:color w:val="2E74B5"/>
            <w:u w:val="single"/>
            <w:sz w:val="22"/>
            <w:szCs w:val="22"/>
          </w:rPr>
          <w:t>House Financial Services Committee, *Game Stopped*</w:t>
        </w:r>
      </w:hyperlink>
    </w:p>
    <w:p>
      <w:pPr>
        <w:pStyle w:val="AMCBullet"/>
        <w:numPr>
          <w:ilvl w:val="0"/>
          <w:numId w:val="28"/>
        </w:numPr>
      </w:pPr>
      <w:hyperlink r:id="rId18">
        <w:r>
          <w:rPr>
            <w:rFonts w:ascii="Calibri" w:hAnsi="Calibri"/>
            <w:color w:val="2E74B5"/>
            <w:u w:val="single"/>
            <w:sz w:val="22"/>
            <w:szCs w:val="22"/>
          </w:rPr>
          <w:t>SEC fails-to-deliver data and methodology</w:t>
        </w:r>
      </w:hyperlink>
    </w:p>
    <w:p>
      <w:pPr>
        <w:pStyle w:val="AMCBullet"/>
        <w:numPr>
          <w:ilvl w:val="0"/>
          <w:numId w:val="28"/>
        </w:numPr>
      </w:pPr>
      <w:hyperlink r:id="rId19">
        <w:r>
          <w:rPr>
            <w:rFonts w:ascii="Calibri" w:hAnsi="Calibri"/>
            <w:color w:val="2E74B5"/>
            <w:u w:val="single"/>
            <w:sz w:val="22"/>
            <w:szCs w:val="22"/>
          </w:rPr>
          <w:t>NYSE Regulation SHO threshold lists</w:t>
        </w:r>
      </w:hyperlink>
    </w:p>
    <w:p>
      <w:pPr>
        <w:pStyle w:val="AMCBullet"/>
        <w:numPr>
          <w:ilvl w:val="0"/>
          <w:numId w:val="28"/>
        </w:numPr>
      </w:pPr>
      <w:hyperlink r:id="rId20">
        <w:r>
          <w:rPr>
            <w:rFonts w:ascii="Calibri" w:hAnsi="Calibri"/>
            <w:color w:val="2E74B5"/>
            <w:u w:val="single"/>
            <w:sz w:val="22"/>
            <w:szCs w:val="22"/>
          </w:rPr>
          <w:t>FINRA daily short-sale volume files</w:t>
        </w:r>
      </w:hyperlink>
    </w:p>
    <w:p>
      <w:pPr>
        <w:pStyle w:val="AMCBullet"/>
        <w:numPr>
          <w:ilvl w:val="0"/>
          <w:numId w:val="28"/>
        </w:numPr>
      </w:pPr>
      <w:hyperlink r:id="rId21">
        <w:r>
          <w:rPr>
            <w:rFonts w:ascii="Calibri" w:hAnsi="Calibri"/>
            <w:color w:val="2E74B5"/>
            <w:u w:val="single"/>
            <w:sz w:val="22"/>
            <w:szCs w:val="22"/>
          </w:rPr>
          <w:t>FINRA short-interest reporting</w:t>
        </w:r>
      </w:hyperlink>
    </w:p>
    <w:p>
      <w:pPr>
        <w:pStyle w:val="AMCBullet"/>
        <w:numPr>
          <w:ilvl w:val="0"/>
          <w:numId w:val="28"/>
        </w:numPr>
      </w:pPr>
      <w:hyperlink r:id="rId24">
        <w:r>
          <w:rPr>
            <w:rFonts w:ascii="Calibri" w:hAnsi="Calibri"/>
            <w:color w:val="2E74B5"/>
            <w:u w:val="single"/>
            <w:sz w:val="22"/>
            <w:szCs w:val="22"/>
          </w:rPr>
          <w:t>Citadel Advisors Q2 2021 Form 13F</w:t>
        </w:r>
      </w:hyperlink>
    </w:p>
    <w:p>
      <w:pPr>
        <w:pStyle w:val="AMCBullet"/>
        <w:numPr>
          <w:ilvl w:val="0"/>
          <w:numId w:val="28"/>
        </w:numPr>
      </w:pPr>
      <w:hyperlink r:id="rId25">
        <w:r>
          <w:rPr>
            <w:rFonts w:ascii="Calibri" w:hAnsi="Calibri"/>
            <w:color w:val="2E74B5"/>
            <w:u w:val="single"/>
            <w:sz w:val="22"/>
            <w:szCs w:val="22"/>
          </w:rPr>
          <w:t>SEC Form 13F FAQ</w:t>
        </w:r>
      </w:hyperlink>
    </w:p>
    <w:p>
      <w:pPr>
        <w:pStyle w:val="AMCBullet"/>
        <w:numPr>
          <w:ilvl w:val="0"/>
          <w:numId w:val="28"/>
        </w:numPr>
      </w:pPr>
      <w:hyperlink r:id="rId28">
        <w:r>
          <w:rPr>
            <w:rFonts w:ascii="Calibri" w:hAnsi="Calibri"/>
            <w:color w:val="2E74B5"/>
            <w:u w:val="single"/>
            <w:sz w:val="22"/>
            <w:szCs w:val="22"/>
          </w:rPr>
          <w:t>BlackRock July 27, 2026 AMC Schedule 13G/A</w:t>
        </w:r>
      </w:hyperlink>
    </w:p>
    <w:p>
      <w:pPr>
        <w:pStyle w:val="AMCBullet"/>
        <w:numPr>
          <w:ilvl w:val="0"/>
          <w:numId w:val="28"/>
        </w:numPr>
      </w:pPr>
      <w:hyperlink r:id="rId26">
        <w:r>
          <w:rPr>
            <w:rFonts w:ascii="Calibri" w:hAnsi="Calibri"/>
            <w:color w:val="2E74B5"/>
            <w:u w:val="single"/>
            <w:sz w:val="22"/>
            <w:szCs w:val="22"/>
          </w:rPr>
          <w:t>Fintel institutional AMC summary</w:t>
        </w:r>
      </w:hyperlink>
    </w:p>
    <w:p>
      <w:pPr>
        <w:pStyle w:val="AMCBullet"/>
        <w:numPr>
          <w:ilvl w:val="0"/>
          <w:numId w:val="28"/>
        </w:numPr>
      </w:pPr>
      <w:hyperlink r:id="rId30">
        <w:r>
          <w:rPr>
            <w:rFonts w:ascii="Calibri" w:hAnsi="Calibri"/>
            <w:color w:val="2E74B5"/>
            <w:u w:val="single"/>
            <w:sz w:val="22"/>
            <w:szCs w:val="22"/>
          </w:rPr>
          <w:t>Fintel/NYSE AMC short-interest summary</w:t>
        </w:r>
      </w:hyperlink>
    </w:p>
    <w:p>
      <w:pPr>
        <w:pStyle w:val="AMCBullet"/>
        <w:numPr>
          <w:ilvl w:val="0"/>
          <w:numId w:val="28"/>
        </w:numPr>
      </w:pPr>
      <w:hyperlink r:id="rId22">
        <w:r>
          <w:rPr>
            <w:rFonts w:ascii="Calibri" w:hAnsi="Calibri"/>
            <w:color w:val="2E74B5"/>
            <w:u w:val="single"/>
            <w:sz w:val="22"/>
            <w:szCs w:val="22"/>
          </w:rPr>
          <w:t>SEC Regulation SHO locate guidance</w:t>
        </w:r>
      </w:hyperlink>
    </w:p>
    <w:p>
      <w:pPr>
        <w:pStyle w:val="AMCBullet"/>
        <w:numPr>
          <w:ilvl w:val="0"/>
          <w:numId w:val="28"/>
        </w:numPr>
      </w:pPr>
      <w:hyperlink r:id="rId33">
        <w:r>
          <w:rPr>
            <w:rFonts w:ascii="Calibri" w:hAnsi="Calibri"/>
            <w:color w:val="2E74B5"/>
            <w:u w:val="single"/>
            <w:sz w:val="22"/>
            <w:szCs w:val="22"/>
          </w:rPr>
          <w:t>OCC Information Memo 55123</w:t>
        </w:r>
      </w:hyperlink>
    </w:p>
    <w:p>
      <w:pPr>
        <w:pStyle w:val="AMCBullet"/>
        <w:numPr>
          <w:ilvl w:val="0"/>
          <w:numId w:val="28"/>
        </w:numPr>
      </w:pPr>
      <w:hyperlink r:id="rId34">
        <w:r>
          <w:rPr>
            <w:rFonts w:ascii="Calibri" w:hAnsi="Calibri"/>
            <w:color w:val="2E74B5"/>
            <w:u w:val="single"/>
            <w:sz w:val="22"/>
            <w:szCs w:val="22"/>
          </w:rPr>
          <w:t>SEC SR-OCC-2024-010 proposal notice</w:t>
        </w:r>
      </w:hyperlink>
    </w:p>
    <w:p>
      <w:pPr>
        <w:pStyle w:val="AMCBullet"/>
        <w:numPr>
          <w:ilvl w:val="0"/>
          <w:numId w:val="28"/>
        </w:numPr>
      </w:pPr>
      <w:hyperlink r:id="rId35">
        <w:r>
          <w:rPr>
            <w:rFonts w:ascii="Calibri" w:hAnsi="Calibri"/>
            <w:color w:val="2E74B5"/>
            <w:u w:val="single"/>
            <w:sz w:val="22"/>
            <w:szCs w:val="22"/>
          </w:rPr>
          <w:t>SEC SR-OCC-2024-010 approval order</w:t>
        </w:r>
      </w:hyperlink>
    </w:p>
    <w:p>
      <w:pPr>
        <w:pStyle w:val="AMCBullet"/>
        <w:numPr>
          <w:ilvl w:val="0"/>
          <w:numId w:val="28"/>
        </w:numPr>
      </w:pPr>
      <w:hyperlink r:id="rId36">
        <w:r>
          <w:rPr>
            <w:rFonts w:ascii="Calibri" w:hAnsi="Calibri"/>
            <w:color w:val="2E74B5"/>
            <w:u w:val="single"/>
            <w:sz w:val="22"/>
            <w:szCs w:val="22"/>
          </w:rPr>
          <w:t>FTX Digital Asset Estimates</w:t>
        </w:r>
      </w:hyperlink>
    </w:p>
    <w:p>
      <w:pPr>
        <w:pStyle w:val="AMCBullet"/>
        <w:numPr>
          <w:ilvl w:val="0"/>
          <w:numId w:val="28"/>
        </w:numPr>
      </w:pPr>
      <w:hyperlink r:id="rId37">
        <w:r>
          <w:rPr>
            <w:rFonts w:ascii="Calibri" w:hAnsi="Calibri"/>
            <w:color w:val="2E74B5"/>
            <w:u w:val="single"/>
            <w:sz w:val="22"/>
            <w:szCs w:val="22"/>
          </w:rPr>
          <w:t>PwC/FTX Digital Markets estimation-methodology filing</w:t>
        </w:r>
      </w:hyperlink>
    </w:p>
    <w:p>
      <w:pPr>
        <w:pStyle w:val="AMCBullet"/>
        <w:numPr>
          <w:ilvl w:val="0"/>
          <w:numId w:val="28"/>
        </w:numPr>
      </w:pPr>
      <w:hyperlink r:id="rId31">
        <w:r>
          <w:rPr>
            <w:rFonts w:ascii="Calibri" w:hAnsi="Calibri"/>
            <w:color w:val="2E74B5"/>
            <w:u w:val="single"/>
            <w:sz w:val="22"/>
            <w:szCs w:val="22"/>
          </w:rPr>
          <w:t>July 2021 r/amcstock discussion</w:t>
        </w:r>
      </w:hyperlink>
    </w:p>
    <w:p>
      <w:pPr>
        <w:pStyle w:val="AMCBullet"/>
        <w:numPr>
          <w:ilvl w:val="0"/>
          <w:numId w:val="28"/>
        </w:numPr>
      </w:pPr>
      <w:hyperlink r:id="rId32">
        <w:r>
          <w:rPr>
            <w:rFonts w:ascii="Calibri" w:hAnsi="Calibri"/>
            <w:color w:val="2E74B5"/>
            <w:u w:val="single"/>
            <w:sz w:val="22"/>
            <w:szCs w:val="22"/>
          </w:rPr>
          <w:t>October 2021 r/amcstock "option trap" discussion</w:t>
        </w:r>
      </w:hyperlink>
    </w:p>
    <w:p>
      <w:pPr>
        <w:pStyle w:val="AMCBullet"/>
        <w:numPr>
          <w:ilvl w:val="0"/>
          <w:numId w:val="10"/>
        </w:numPr>
      </w:pPr>
      <w:hyperlink r:id="rId49">
        <w:r>
          <w:rPr>
            <w:color w:val="0563C1"/>
            <w:u w:val="single"/>
          </w:rPr>
          <w:t>AMC June 3, 2021 share-count and derivatives statement</w:t>
        </w:r>
      </w:hyperlink>
    </w:p>
    <w:p>
      <w:pPr>
        <w:pStyle w:val="AMCBullet"/>
        <w:numPr>
          <w:ilvl w:val="0"/>
          <w:numId w:val="10"/>
        </w:numPr>
      </w:pPr>
      <w:hyperlink r:id="rId50">
        <w:r>
          <w:rPr>
            <w:color w:val="0563C1"/>
            <w:u w:val="single"/>
          </w:rPr>
          <w:t>Reuters June 3 gamma-squeeze follow-up</w:t>
        </w:r>
      </w:hyperlink>
    </w:p>
    <w:p>
      <w:pPr>
        <w:pStyle w:val="AMCBullet"/>
        <w:numPr>
          <w:ilvl w:val="0"/>
          <w:numId w:val="10"/>
        </w:numPr>
      </w:pPr>
      <w:hyperlink r:id="rId38">
        <w:r>
          <w:rPr>
            <w:color w:val="0563C1"/>
            <w:u w:val="single"/>
          </w:rPr>
          <w:t>AMC June 1, 2021 Mudrick Form 8-K</w:t>
        </w:r>
      </w:hyperlink>
    </w:p>
    <w:p>
      <w:pPr>
        <w:pStyle w:val="AMCBullet"/>
        <w:numPr>
          <w:ilvl w:val="0"/>
          <w:numId w:val="10"/>
        </w:numPr>
      </w:pPr>
      <w:hyperlink r:id="rId39">
        <w:r>
          <w:rPr>
            <w:color w:val="0563C1"/>
            <w:u w:val="single"/>
          </w:rPr>
          <w:t>Wall Street Journal, Mudrick short-call loss</w:t>
        </w:r>
      </w:hyperlink>
    </w:p>
    <w:p>
      <w:pPr>
        <w:pStyle w:val="AMCBullet"/>
        <w:numPr>
          <w:ilvl w:val="0"/>
          <w:numId w:val="10"/>
        </w:numPr>
      </w:pPr>
      <w:hyperlink r:id="rId46">
        <w:r>
          <w:rPr>
            <w:color w:val="0563C1"/>
            <w:u w:val="single"/>
          </w:rPr>
          <w:t>Seeking Gamma: Lessons from the Meme Frenzy</w:t>
        </w:r>
      </w:hyperlink>
    </w:p>
    <w:p>
      <w:pPr>
        <w:pStyle w:val="AMCBullet"/>
        <w:numPr>
          <w:ilvl w:val="0"/>
          <w:numId w:val="10"/>
        </w:numPr>
      </w:pPr>
      <w:hyperlink r:id="rId41">
        <w:r>
          <w:rPr>
            <w:color w:val="0563C1"/>
            <w:u w:val="single"/>
          </w:rPr>
          <w:t>CAT NMS Plan Q4 2021 Progress Report</w:t>
        </w:r>
      </w:hyperlink>
    </w:p>
    <w:p>
      <w:pPr>
        <w:pStyle w:val="AMCBullet"/>
        <w:numPr>
          <w:ilvl w:val="0"/>
          <w:numId w:val="10"/>
        </w:numPr>
      </w:pPr>
      <w:hyperlink r:id="rId42">
        <w:r>
          <w:rPr>
            <w:color w:val="0563C1"/>
            <w:u w:val="single"/>
          </w:rPr>
          <w:t>DTCC next-generation equities data portals</w:t>
        </w:r>
      </w:hyperlink>
    </w:p>
    <w:p>
      <w:pPr>
        <w:pStyle w:val="AMCBullet"/>
        <w:numPr>
          <w:ilvl w:val="0"/>
          <w:numId w:val="10"/>
        </w:numPr>
      </w:pPr>
      <w:hyperlink r:id="rId43">
        <w:r>
          <w:rPr>
            <w:color w:val="0563C1"/>
            <w:u w:val="single"/>
          </w:rPr>
          <w:t>DTCC Important Notice A9742</w:t>
        </w:r>
      </w:hyperlink>
    </w:p>
    <w:p>
      <w:pPr>
        <w:pStyle w:val="AMCBullet"/>
        <w:numPr>
          <w:ilvl w:val="0"/>
          <w:numId w:val="10"/>
        </w:numPr>
      </w:pPr>
      <w:hyperlink r:id="rId44">
        <w:r>
          <w:rPr>
            <w:color w:val="0563C1"/>
            <w:u w:val="single"/>
          </w:rPr>
          <w:t>DTCC Important Notice A9751</w:t>
        </w:r>
      </w:hyperlink>
    </w:p>
    <w:p>
      <w:pPr>
        <w:pStyle w:val="AMCBullet"/>
        <w:numPr>
          <w:ilvl w:val="0"/>
          <w:numId w:val="10"/>
        </w:numPr>
      </w:pPr>
      <w:hyperlink r:id="rId45">
        <w:r>
          <w:rPr>
            <w:color w:val="0563C1"/>
            <w:u w:val="single"/>
          </w:rPr>
          <w:t>DTCC Important Notice A9795</w:t>
        </w:r>
      </w:hyperlink>
    </w:p>
    <w:p>
      <w:pPr>
        <w:pStyle w:val="AMCBullet"/>
        <w:numPr>
          <w:ilvl w:val="0"/>
          <w:numId w:val="10"/>
        </w:numPr>
      </w:pPr>
      <w:hyperlink r:id="rId47">
        <w:r>
          <w:rPr>
            <w:color w:val="0563C1"/>
            <w:u w:val="single"/>
          </w:rPr>
          <w:t>S&amp;P Global Ratings AMC upgrade</w:t>
        </w:r>
      </w:hyperlink>
    </w:p>
    <w:p>
      <w:pPr>
        <w:pStyle w:val="AMCBullet"/>
        <w:numPr>
          <w:ilvl w:val="0"/>
          <w:numId w:val="10"/>
        </w:numPr>
      </w:pPr>
      <w:hyperlink r:id="rId48">
        <w:r>
          <w:rPr>
            <w:color w:val="0563C1"/>
            <w:u w:val="single"/>
          </w:rPr>
          <w:t>AMC Q2 2026 results filed with the SEC</w:t>
        </w:r>
      </w:hyperlink>
    </w:p>
    <w:p>
      <w:pPr>
        <w:pStyle w:val="Heading1"/>
        <w:keepNext/>
      </w:pPr>
      <w:r>
        <w:rPr>
          <w:rFonts w:ascii="Calibri" w:hAnsi="Calibri"/>
          <w:b/>
          <w:color w:val="2E74B5"/>
          <w:sz w:val="32"/>
        </w:rPr>
        <w:t>Research and publication notice</w:t>
      </w:r>
    </w:p>
    <w:p>
      <w:pPr/>
      <w:r>
        <w:rPr>
          <w:rFonts w:ascii="Calibri" w:hAnsi="Calibri"/>
          <w:color w:val="111111"/>
          <w:sz w:val="22"/>
        </w:rPr>
        <w:t>This document is for journalism, research, commentary, and public-record analysis. It is not financial, legal, or investment advice and does not recommend shares, options, or any trading strategy. Options can expire worthless and can expose traders to substantial or total loss. Allegations of manipulation, unlawful naked shorting, coordination, false locates, or other misconduct require participant-level evidence and should not be stated as established fact unless the underlying records support them.</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b/>
        <w:color w:val="626A73"/>
        <w:sz w:val="17"/>
      </w:rPr>
      <w:t xml:space="preserve">JAMES + MATT  |  </w:t>
    </w:r>
    <w:r>
      <w:rPr>
        <w:rFonts w:ascii="Calibri" w:hAnsi="Calibri"/>
        <w:color w:val="626A73"/>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b/>
        <w:color w:val="626A73"/>
        <w:sz w:val="17"/>
      </w:rPr>
      <w:t>JOINT INVESTIGATION  |  JULY 29,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626A73"/>
        <w:sz w:val="17"/>
      </w:rPr>
      <w:t>FINANCIAL SMACKDOWN  |  AMC MARKET STRUCTURE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80"/>
        <w:spacing w:before="0" w:after="80" w:line="290" w:lineRule="auto"/>
      </w:pPr>
      <w:rPr>
        <w:rFonts w:ascii="Calibri" w:hAnsi="Calibri"/>
      </w:rPr>
    </w:lvl>
  </w:abstractNum>
  <w:abstractNum w:abstractNumId="10">
    <w:multiLevelType w:val="singleLevel"/>
    <w:lvl w:ilvl="0">
      <w:start w:val="1"/>
      <w:numFmt w:val="decimal"/>
      <w:lvlText w:val="%1."/>
      <w:suff w:val="tab"/>
      <w:pPr>
        <w:tabs>
          <w:tab w:val="num" w:pos="720"/>
        </w:tabs>
        <w:ind w:left="720" w:hanging="460"/>
        <w:spacing w:before="0" w:after="80" w:line="290" w:lineRule="auto"/>
      </w:pPr>
      <w:rPr>
        <w:rFonts w:ascii="Calibri" w:hAnsi="Calibri"/>
      </w:rPr>
    </w:lvl>
  </w:abstractNum>
  <w:num w:numId="10">
    <w:abstractNumId w:val="9"/>
    <w:lvlOverride w:ilvl="0">
      <w:startOverride w:val="1"/>
    </w:lvlOverride>
  </w:num>
  <w:num w:numId="11">
    <w:abstractNumId w:val="9"/>
    <w:lvlOverride w:ilvl="0">
      <w:startOverride w:val="1"/>
    </w:lvlOverride>
  </w:num>
  <w:num w:numId="12">
    <w:abstractNumId w:val="10"/>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0"/>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Calibri" w:hAnsi="Calibri"/>
      <w:b/>
      <w:color w:val="0B254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64" w:lineRule="auto"/>
      <w:jc w:val="center"/>
    </w:pPr>
    <w:rPr>
      <w:rFonts w:asciiTheme="majorHAnsi" w:eastAsiaTheme="majorEastAsia" w:hAnsiTheme="majorHAnsi" w:cstheme="majorBidi" w:ascii="Calibri" w:hAnsi="Calibri"/>
      <w:i w:val="0"/>
      <w:iCs/>
      <w:color w:val="1F4D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
    <w:name w:val="Source"/>
    <w:pPr>
      <w:spacing w:before="80" w:after="80" w:line="252" w:lineRule="auto"/>
      <w:jc w:val="left"/>
    </w:pPr>
    <w:rPr>
      <w:rFonts w:ascii="Calibri" w:hAnsi="Calibri"/>
      <w:color w:val="626A73"/>
      <w:sz w:val="18"/>
    </w:rPr>
  </w:style>
  <w:style w:type="paragraph" w:customStyle="1" w:styleId="Callout">
    <w:name w:val="Callout"/>
    <w:pPr>
      <w:keepLines/>
      <w:spacing w:before="160" w:after="200" w:line="288" w:lineRule="auto"/>
      <w:ind w:left="259" w:right="115"/>
      <w:jc w:val="left"/>
    </w:pPr>
    <w:rPr>
      <w:rFonts w:ascii="Calibri" w:hAnsi="Calibri"/>
      <w:b/>
      <w:color w:val="0B2545"/>
      <w:sz w:val="22"/>
    </w:rPr>
  </w:style>
  <w:style w:type="paragraph" w:customStyle="1" w:styleId="AMCBullet">
    <w:name w:val="AMC Bullet"/>
    <w:basedOn w:val="Normal"/>
    <w:pPr>
      <w:spacing w:before="0" w:after="80" w:line="290" w:lineRule="auto"/>
      <w:jc w:val="left"/>
    </w:pPr>
    <w:rPr>
      <w:rFonts w:ascii="Calibri" w:hAnsi="Calibri"/>
      <w:sz w:val="22"/>
    </w:rPr>
  </w:style>
  <w:style w:type="paragraph" w:customStyle="1" w:styleId="AMCNumber">
    <w:name w:val="AMC Number"/>
    <w:basedOn w:val="Normal"/>
    <w:pPr>
      <w:spacing w:before="0" w:after="80" w:line="290" w:lineRule="auto"/>
      <w:jc w:val="left"/>
    </w:pPr>
    <w:rPr>
      <w:rFonts w:ascii="Calibri" w:hAnsi="Calibri"/>
      <w:sz w:val="22"/>
    </w:rPr>
  </w:style>
  <w:style w:type="paragraph" w:customStyle="1" w:styleId="TableText">
    <w:name w:val="Table Text"/>
    <w:pPr>
      <w:spacing w:before="0" w:after="0" w:line="252" w:lineRule="auto"/>
      <w:jc w:val="left"/>
    </w:pPr>
    <w:rPr>
      <w:rFonts w:ascii="Calibri" w:hAnsi="Calibri"/>
      <w:color w:val="11111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sec.gov/Archives/edgar/data/1411579/000110465921076090/tm2118373-1_424b5.htm" TargetMode="External"/><Relationship Id="rId14" Type="http://schemas.openxmlformats.org/officeDocument/2006/relationships/hyperlink" Target="https://www.reuters.com/business/amc-shares-set-record-open-meme-stocks-surge-2021-06-02/" TargetMode="External"/><Relationship Id="rId15" Type="http://schemas.openxmlformats.org/officeDocument/2006/relationships/hyperlink" Target="https://www.barrons.com/articles/not-just-amcs-stock-its-options-are-also-off-the-charts-51622734555" TargetMode="External"/><Relationship Id="rId16" Type="http://schemas.openxmlformats.org/officeDocument/2006/relationships/hyperlink" Target="https://www.sec.gov/files/staff-report-equity-options-market-struction-conditions-early-2021.pdf" TargetMode="External"/><Relationship Id="rId17" Type="http://schemas.openxmlformats.org/officeDocument/2006/relationships/hyperlink" Target="https://democrats-financialservices.house.gov/uploadedfiles/6.22_hfsc_gs.report_hmsmeetbp.irm.nlrf.pdf" TargetMode="External"/><Relationship Id="rId18" Type="http://schemas.openxmlformats.org/officeDocument/2006/relationships/hyperlink" Target="https://www.sec.gov/data-research/sec-markets-data/fails-deliver-data" TargetMode="External"/><Relationship Id="rId19" Type="http://schemas.openxmlformats.org/officeDocument/2006/relationships/hyperlink" Target="https://www.nyse.com/regulation/regulation-sho" TargetMode="External"/><Relationship Id="rId20" Type="http://schemas.openxmlformats.org/officeDocument/2006/relationships/hyperlink" Target="https://www.finra.org/finra-data/browse-catalog/short-sale-volume-data/daily-short-sale-volume-files" TargetMode="External"/><Relationship Id="rId21" Type="http://schemas.openxmlformats.org/officeDocument/2006/relationships/hyperlink" Target="https://www.finra.org/filing-reporting/regulatory-filing-systems/short-interest" TargetMode="External"/><Relationship Id="rId22" Type="http://schemas.openxmlformats.org/officeDocument/2006/relationships/hyperlink" Target="https://www.sec.gov/rules-regulations/staff-guidance/trading-markets-frequently-asked-questions-8" TargetMode="External"/><Relationship Id="rId23" Type="http://schemas.openxmlformats.org/officeDocument/2006/relationships/hyperlink" Target="https://www.sec.gov/investor/pubs/regsho.htm" TargetMode="External"/><Relationship Id="rId24" Type="http://schemas.openxmlformats.org/officeDocument/2006/relationships/hyperlink" Target="https://www.sec.gov/Archives/edgar/data/1423053/000095012321011394/0000950123-21-011394-index.html" TargetMode="External"/><Relationship Id="rId25" Type="http://schemas.openxmlformats.org/officeDocument/2006/relationships/hyperlink" Target="https://www.sec.gov/rules-regulations/staff-guidance/division-investment-management-frequently-asked-questions/frequently-asked-questions-about-form-13f" TargetMode="External"/><Relationship Id="rId26" Type="http://schemas.openxmlformats.org/officeDocument/2006/relationships/hyperlink" Target="https://fintel.io/so/us/amc" TargetMode="External"/><Relationship Id="rId27" Type="http://schemas.openxmlformats.org/officeDocument/2006/relationships/hyperlink" Target="https://fintel.io/so/us/amc/susquehanna-international-group-llp" TargetMode="External"/><Relationship Id="rId28" Type="http://schemas.openxmlformats.org/officeDocument/2006/relationships/hyperlink" Target="https://www.sec.gov/Archives/edgar/data/1411579/000201238326002154/xslSCHEDULE_13G_X02/primary_doc.xml" TargetMode="External"/><Relationship Id="rId29" Type="http://schemas.openxmlformats.org/officeDocument/2006/relationships/hyperlink" Target="https://investor.amctheatres.com/sec-filings/all-sec-filings/content/0002012383-24-003696/us00165c3025_110824.txt" TargetMode="External"/><Relationship Id="rId30" Type="http://schemas.openxmlformats.org/officeDocument/2006/relationships/hyperlink" Target="https://fintel.io/ss/us/amc" TargetMode="External"/><Relationship Id="rId31" Type="http://schemas.openxmlformats.org/officeDocument/2006/relationships/hyperlink" Target="https://www.reddit.com/r/amcstock/comments/on23bj/someone_needs_to_figure_out_how_we_can_buy_shares/" TargetMode="External"/><Relationship Id="rId32" Type="http://schemas.openxmlformats.org/officeDocument/2006/relationships/hyperlink" Target="https://www.reddit.com/r/amcstock/comments/qaqlqr/it_seems_like_they_are_setting_up_option_trap_for/" TargetMode="External"/><Relationship Id="rId33" Type="http://schemas.openxmlformats.org/officeDocument/2006/relationships/hyperlink" Target="https://infomemo.theocc.com/infomemos?number=55123" TargetMode="External"/><Relationship Id="rId34" Type="http://schemas.openxmlformats.org/officeDocument/2006/relationships/hyperlink" Target="https://www.sec.gov/files/rules/sro/occ/2024/34-100664.pdf" TargetMode="External"/><Relationship Id="rId35" Type="http://schemas.openxmlformats.org/officeDocument/2006/relationships/hyperlink" Target="https://www.sec.gov/files/rules/sro/occ/2025/34-102768.pdf" TargetMode="External"/><Relationship Id="rId36" Type="http://schemas.openxmlformats.org/officeDocument/2006/relationships/hyperlink" Target="https://support.ftx.com/hc/en-us/articles/24863020316948-Digital-Asset-Estimates" TargetMode="External"/><Relationship Id="rId37" Type="http://schemas.openxmlformats.org/officeDocument/2006/relationships/hyperlink" Target="https://www.pwc.com/bs/en/services/business-restructuring-ftx-digital-markets/assets/summons-reapproval-of-estimation-methodology.pdf" TargetMode="External"/><Relationship Id="rId38" Type="http://schemas.openxmlformats.org/officeDocument/2006/relationships/hyperlink" Target="https://investor.amctheatres.com/sec-filings/all-sec-filings/content/0001104659-21-074526/0001104659-21-074526.pdf" TargetMode="External"/><Relationship Id="rId39" Type="http://schemas.openxmlformats.org/officeDocument/2006/relationships/hyperlink" Target="https://www.wsj.com/finance/stocks/amc-bet-by-hedge-fund-unravels-thanks-to-meme-stock-traders-11623431320" TargetMode="External"/><Relationship Id="rId40" Type="http://schemas.openxmlformats.org/officeDocument/2006/relationships/hyperlink" Target="https://www.reuters.com/business/media-telecom/amc-raises-2305-mln-boost-theater-experience-shares-jump-2021-06-01/" TargetMode="External"/><Relationship Id="rId41" Type="http://schemas.openxmlformats.org/officeDocument/2006/relationships/hyperlink" Target="https://catnmsplan.com/sites/default/files/2022-01/CAT-Q4-2021-QPR.pdf" TargetMode="External"/><Relationship Id="rId42" Type="http://schemas.openxmlformats.org/officeDocument/2006/relationships/hyperlink" Target="https://www.dtcc.com/news/2026/march/02/dtcc-launches-next-generation-equities-data-portals-advanced-analytics-and-operational-insights" TargetMode="External"/><Relationship Id="rId43" Type="http://schemas.openxmlformats.org/officeDocument/2006/relationships/hyperlink" Target="https://www.dtcc.com/Globals/PDFs/2026/March/31/a9742" TargetMode="External"/><Relationship Id="rId44" Type="http://schemas.openxmlformats.org/officeDocument/2006/relationships/hyperlink" Target="https://www.dtcc.com/Globals/PDFs/2026/April/15/a9751" TargetMode="External"/><Relationship Id="rId45" Type="http://schemas.openxmlformats.org/officeDocument/2006/relationships/hyperlink" Target="https://www.dtcc.com/Globals/PDFs/2026/July/15/a9795" TargetMode="External"/><Relationship Id="rId46" Type="http://schemas.openxmlformats.org/officeDocument/2006/relationships/hyperlink" Target="https://afajof.org/management/viewp.php?n=183232" TargetMode="External"/><Relationship Id="rId47" Type="http://schemas.openxmlformats.org/officeDocument/2006/relationships/hyperlink" Target="https://www.spglobal.com/ratings/en/regulatory/article/-/view/type/HTML/id/3601652" TargetMode="External"/><Relationship Id="rId48" Type="http://schemas.openxmlformats.org/officeDocument/2006/relationships/hyperlink" Target="https://www.sec.gov/Archives/edgar/data/1411579/000141157926000055/amc-20260720xex99d1.htm" TargetMode="External"/><Relationship Id="rId49" Type="http://schemas.openxmlformats.org/officeDocument/2006/relationships/hyperlink" Target="https://d1io3yog0oux5.cloudfront.net/_fa0fc7cff0f5edd9f52073348d27cde2/amctheatres/news/2021-06-03_AMC_Entertainment_Holdings_Inc_Announces_104.pdf" TargetMode="External"/><Relationship Id="rId50" Type="http://schemas.openxmlformats.org/officeDocument/2006/relationships/hyperlink" Target="https://www.reuters.com/business/with-amc-shares-sky-high-gamma-squeeze-less-driving-force-2021-0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The Half of June They Told Retail to Stop Studying</dc:title>
  <dc:subject>Financial Smackdown master show report on AMC June 2021 market structure</dc:subject>
  <dc:creator>James and Matt</dc:creator>
  <cp:keywords>AMC, June 2021, options, dealer hedging, market structure, FTD, OCC</cp:keywords>
  <dc:description>generated by python-docx</dc:description>
  <cp:lastModifiedBy/>
  <cp:revision>1</cp:revision>
  <dcterms:created xsi:type="dcterms:W3CDTF">2013-12-23T23:15:00Z</dcterms:created>
  <dcterms:modified xsi:type="dcterms:W3CDTF">2013-12-23T23:15:00Z</dcterms:modified>
  <cp:category/>
</cp:coreProperties>
</file>