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Calibri" w:hAnsi="Calibri"/>
          <w:b/>
          <w:color w:val="2E74B5"/>
          <w:sz w:val="22"/>
        </w:rPr>
        <w:t>THE AMC APE CAGE</w:t>
      </w:r>
    </w:p>
    <w:tbl>
      <w:tblPr>
        <w:tblW w:type="dxa" w:w="9360"/>
        <w:jc w:val="center"/>
        <w:tblLayout w:type="fixed"/>
        <w:tblLook w:firstColumn="1" w:firstRow="1" w:lastColumn="0" w:lastRow="0" w:noHBand="0" w:noVBand="1" w:val="04A0"/>
      </w:tblPr>
      <w:tblGrid>
        <w:gridCol w:w="9360"/>
      </w:tblGrid>
      <w:tr>
        <w:tc>
          <w:tcPr>
            <w:tcW w:type="dxa" w:w="9360"/>
            <w:tcMar>
              <w:top w:w="520" w:type="dxa"/>
              <w:start w:w="420" w:type="dxa"/>
              <w:bottom w:w="520" w:type="dxa"/>
              <w:end w:w="420" w:type="dxa"/>
            </w:tcMar>
            <w:shd w:fill="17365D"/>
            <w:vAlign w:val="center"/>
          </w:tcPr>
          <w:p>
            <w:pPr>
              <w:spacing w:after="240"/>
              <w:jc w:val="left"/>
            </w:pPr>
            <w:r>
              <w:rPr>
                <w:rFonts w:ascii="Calibri" w:hAnsi="Calibri"/>
                <w:b/>
                <w:color w:val="5B9BD5"/>
                <w:sz w:val="22"/>
              </w:rPr>
              <w:t>REPORT 2 OF 2</w:t>
            </w:r>
          </w:p>
          <w:p>
            <w:pPr>
              <w:spacing w:after="320"/>
            </w:pPr>
            <w:r>
              <w:rPr>
                <w:rFonts w:ascii="Calibri Light" w:hAnsi="Calibri Light"/>
                <w:b/>
                <w:color w:val="FFFFFF"/>
                <w:sz w:val="54"/>
              </w:rPr>
              <w:t>AMC Court and APE Investigation</w:t>
            </w:r>
          </w:p>
          <w:p>
            <w:r>
              <w:rPr>
                <w:rFonts w:ascii="Calibri" w:hAnsi="Calibri"/>
                <w:color w:val="DCE6F1"/>
                <w:sz w:val="26"/>
              </w:rPr>
              <w:t>Plaintiff formation, rapid early-stage settlement, the ACERS–CIM–BNY Mellon chain, and the Citadel–BNY Mellon attribution test</w:t>
            </w:r>
          </w:p>
        </w:tc>
      </w:tr>
    </w:tbl>
    <w:p/>
    <w:p>
      <w:pPr>
        <w:spacing w:before="240" w:after="120"/>
      </w:pPr>
      <w:r>
        <w:rPr>
          <w:rFonts w:ascii="Calibri" w:hAnsi="Calibri"/>
          <w:b/>
          <w:color w:val="A61B1B"/>
          <w:sz w:val="21"/>
        </w:rPr>
        <w:t>STATUS: INVESTIGATIVE ACCUSATION • EVIDENCE-BOUND</w:t>
      </w:r>
    </w:p>
    <w:p>
      <w:pPr>
        <w:spacing w:after="60"/>
      </w:pPr>
      <w:r>
        <w:rPr>
          <w:b/>
        </w:rPr>
        <w:t xml:space="preserve">Prepared for: </w:t>
      </w:r>
      <w:r>
        <w:t>James Allen / The AMC Ape Cage</w:t>
      </w:r>
    </w:p>
    <w:p>
      <w:pPr>
        <w:spacing w:after="60"/>
      </w:pPr>
      <w:r>
        <w:rPr>
          <w:b/>
        </w:rPr>
        <w:t xml:space="preserve">As of: </w:t>
      </w:r>
      <w:r>
        <w:t>August 10, 2026</w:t>
      </w:r>
    </w:p>
    <w:p>
      <w:pPr>
        <w:spacing w:after="60"/>
      </w:pPr>
      <w:r>
        <w:rPr>
          <w:b/>
        </w:rPr>
        <w:t xml:space="preserve">Primary subjects named: </w:t>
      </w:r>
      <w:r>
        <w:t>Citadel Securities LLC and The Bank of New York Mellon</w:t>
      </w:r>
    </w:p>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FF4CC"/>
            <w:tcBorders>
              <w:left w:val="single" w:sz="24" w:color="B8860B"/>
            </w:tcBorders>
          </w:tcPr>
          <w:p>
            <w:pPr>
              <w:spacing w:after="80"/>
            </w:pPr>
            <w:r>
              <w:rPr>
                <w:b/>
                <w:color w:val="B8860B"/>
                <w:sz w:val="20"/>
              </w:rPr>
              <w:t>PUBLICATION NOTICE</w:t>
            </w:r>
          </w:p>
          <w:p>
            <w:pPr>
              <w:spacing w:after="0"/>
            </w:pPr>
            <w:r>
              <w:t>This report presents documented facts, calculations, analytical inferences, accusations for investigation, and unresolved questions as separate evidence classes. It is not a judicial or regulatory finding of misconduct. The named entities should be given a fair opportunity to respond to the specific allegations and record demands before publication.</w:t>
            </w:r>
          </w:p>
        </w:tc>
      </w:tr>
    </w:tbl>
    <w:p>
      <w:pPr>
        <w:spacing w:after="0"/>
      </w:pPr>
    </w:p>
    <w:p>
      <w:r>
        <w:br w:type="page"/>
      </w:r>
    </w:p>
    <w:p>
      <w:pPr>
        <w:pStyle w:val="Heading1"/>
      </w:pPr>
      <w:r>
        <w:t>Executive conclusion</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BE9E7"/>
            <w:tcBorders>
              <w:left w:val="single" w:sz="24" w:color="A61B1B"/>
            </w:tcBorders>
          </w:tcPr>
          <w:p>
            <w:pPr>
              <w:spacing w:after="80"/>
            </w:pPr>
            <w:r>
              <w:rPr>
                <w:b/>
                <w:color w:val="A61B1B"/>
                <w:sz w:val="20"/>
              </w:rPr>
              <w:t>ACCUSATION ADVANCED FOR INVESTIGATION</w:t>
            </w:r>
          </w:p>
          <w:p>
            <w:pPr>
              <w:spacing w:after="0"/>
            </w:pPr>
            <w:r>
              <w:t>James Allen and The AMC Ape Cage accuse Citadel Securities and BNY Mellon of being materially connected to the economic and market infrastructure surrounding the ACERS-led AMC litigation and APE conversion. The specific allegation to test is whether BNY Mellon’s custody and securities-lending system, potentially involving a Citadel borrower or executing broker, shaped ACERS’s AMC position or economic incentives—and whether either entity communicated with, influenced, financed, executed for, or benefited from the litigation and settlement process. The public record justifies the investigation but does not establish that Citadel or BNY Mellon created, directed, or secretly controlled the lawsuit.</w:t>
            </w:r>
          </w:p>
        </w:tc>
      </w:tr>
    </w:tbl>
    <w:p>
      <w:pPr>
        <w:spacing w:after="0"/>
      </w:pPr>
    </w:p>
    <w:p>
      <w:r>
        <w:t>The public pattern is unusual enough to demand exact records. ACERS and Anthony Franchi filed on February 20, 2023. The cases were consolidated on March 2. AMC’s special meeting occurred March 14. Mediation began approximately two weeks later, and the parties executed a binding term sheet on April 2—about 41 days after filing and 19 days after the vote. The next day, plaintiffs filed an unopposed motion to lift the status quo order before notice and final approval. The Court denied that motion on April 5. The Court later described the settlement as early-stage: no depositions and no preliminary-injunction briefs had been filed.</w:t>
      </w:r>
    </w:p>
    <w:p>
      <w:r>
        <w:t>The Court did not find collusion. It certified the class, found notice adequate, held the revised settlement reasonable, found the fiduciary-duty claim had merit but a beneficial remedy was difficult, found the statutory claim lacked merit, and awarded counsel 12% of the settlement consideration plus $5,000 incentive awards to each named plaintiff from the fee award. The Delaware Supreme Court affirmed, and the U.S. Supreme Court denied review. Any report alleging orchestration must acknowledge those holdings.</w:t>
      </w:r>
    </w:p>
    <w:p>
      <w:r>
        <w:t>The strongest unexplained financial clue is not the litigation relationship by itself. It is the near-exact match between ACERS’s 62.51599% reduction in AMC shares and CIM Investment Management’s 62.52301% aggregate AMC reduction between the first and second quarters of 2021. That match strongly supports a pro-rata managed-account allocation rather than an isolated ACERS decision. The Rule 204-2 order memorandum and BNY transaction detail should identify the parent order, placing person, account, and executing broker.</w:t>
      </w:r>
    </w:p>
    <w:tbl>
      <w:tblPr>
        <w:tblStyle w:val="TableGrid"/>
        <w:tblW w:type="dxa" w:w="9360"/>
        <w:jc w:val="center"/>
        <w:tblLayout w:type="fixed"/>
        <w:tblLook w:firstColumn="1" w:firstRow="1" w:lastColumn="0" w:lastRow="0" w:noHBand="0" w:noVBand="1" w:val="04A0"/>
      </w:tblPr>
      <w:tblGrid>
        <w:gridCol w:w="2700"/>
        <w:gridCol w:w="4660"/>
        <w:gridCol w:w="2000"/>
      </w:tblGrid>
      <w:tr>
        <w:trPr>
          <w:trHeight w:hRule="atLeast"/>
          <w:tblHeader w:val="true"/>
        </w:trPr>
        <w:tc>
          <w:tcPr>
            <w:tcW w:type="dxa" w:w="2700"/>
            <w:shd w:fill="F2F4F7"/>
            <w:vAlign w:val="center"/>
            <w:tcMar>
              <w:top w:w="80" w:type="dxa"/>
              <w:start w:w="120" w:type="dxa"/>
              <w:bottom w:w="80" w:type="dxa"/>
              <w:end w:w="120" w:type="dxa"/>
            </w:tcMar>
          </w:tcPr>
          <w:p>
            <w:pPr>
              <w:spacing w:after="0"/>
            </w:pPr>
            <w:r>
              <w:rPr>
                <w:b/>
                <w:color w:val="17365D"/>
                <w:sz w:val="18"/>
              </w:rPr>
              <w:t>Question</w:t>
            </w:r>
          </w:p>
        </w:tc>
        <w:tc>
          <w:tcPr>
            <w:tcW w:type="dxa" w:w="4660"/>
            <w:shd w:fill="F2F4F7"/>
            <w:vAlign w:val="center"/>
            <w:tcMar>
              <w:top w:w="80" w:type="dxa"/>
              <w:start w:w="120" w:type="dxa"/>
              <w:bottom w:w="80" w:type="dxa"/>
              <w:end w:w="120" w:type="dxa"/>
            </w:tcMar>
          </w:tcPr>
          <w:p>
            <w:pPr>
              <w:spacing w:after="0"/>
            </w:pPr>
            <w:r>
              <w:rPr>
                <w:b/>
                <w:color w:val="17365D"/>
                <w:sz w:val="18"/>
              </w:rPr>
              <w:t>Current answer</w:t>
            </w:r>
          </w:p>
        </w:tc>
        <w:tc>
          <w:tcPr>
            <w:tcW w:type="dxa" w:w="2000"/>
            <w:shd w:fill="F2F4F7"/>
            <w:vAlign w:val="center"/>
            <w:tcMar>
              <w:top w:w="80" w:type="dxa"/>
              <w:start w:w="120" w:type="dxa"/>
              <w:bottom w:w="80" w:type="dxa"/>
              <w:end w:w="120" w:type="dxa"/>
            </w:tcMar>
          </w:tcPr>
          <w:p>
            <w:pPr>
              <w:spacing w:after="0"/>
            </w:pPr>
            <w:r>
              <w:rPr>
                <w:b/>
                <w:color w:val="17365D"/>
                <w:sz w:val="18"/>
              </w:rPr>
              <w:t>Evidence grade</w:t>
            </w:r>
          </w:p>
        </w:tc>
      </w:tr>
      <w:tr>
        <w:trPr>
          <w:cantSplit/>
        </w:trPr>
        <w:tc>
          <w:tcPr>
            <w:tcW w:type="dxa" w:w="2700"/>
            <w:vAlign w:val="top"/>
            <w:tcMar>
              <w:top w:w="80" w:type="dxa"/>
              <w:start w:w="120" w:type="dxa"/>
              <w:bottom w:w="80" w:type="dxa"/>
              <w:end w:w="120" w:type="dxa"/>
            </w:tcMar>
          </w:tcPr>
          <w:p>
            <w:pPr>
              <w:spacing w:after="0"/>
            </w:pPr>
            <w:r>
              <w:rPr>
                <w:sz w:val="18"/>
              </w:rPr>
              <w:t>Was the settlement rapid and early-stage?</w:t>
            </w:r>
          </w:p>
        </w:tc>
        <w:tc>
          <w:tcPr>
            <w:tcW w:type="dxa" w:w="4660"/>
            <w:vAlign w:val="top"/>
            <w:tcMar>
              <w:top w:w="80" w:type="dxa"/>
              <w:start w:w="120" w:type="dxa"/>
              <w:bottom w:w="80" w:type="dxa"/>
              <w:end w:w="120" w:type="dxa"/>
            </w:tcMar>
          </w:tcPr>
          <w:p>
            <w:pPr>
              <w:spacing w:after="0"/>
            </w:pPr>
            <w:r>
              <w:rPr>
                <w:sz w:val="18"/>
              </w:rPr>
              <w:t>Yes; 41 days from filing to term sheet, before depositions or PI briefs.</w:t>
            </w:r>
          </w:p>
        </w:tc>
        <w:tc>
          <w:tcPr>
            <w:tcW w:type="dxa" w:w="2000"/>
            <w:vAlign w:val="top"/>
            <w:tcMar>
              <w:top w:w="80" w:type="dxa"/>
              <w:start w:w="120" w:type="dxa"/>
              <w:bottom w:w="80" w:type="dxa"/>
              <w:end w:w="120" w:type="dxa"/>
            </w:tcMar>
          </w:tcPr>
          <w:p>
            <w:pPr>
              <w:spacing w:after="0"/>
            </w:pPr>
            <w:r>
              <w:rPr>
                <w:sz w:val="18"/>
              </w:rPr>
              <w:t>Strong / court record</w:t>
            </w:r>
          </w:p>
        </w:tc>
      </w:tr>
      <w:tr>
        <w:trPr>
          <w:cantSplit/>
        </w:trPr>
        <w:tc>
          <w:tcPr>
            <w:tcW w:type="dxa" w:w="2700"/>
            <w:vAlign w:val="top"/>
            <w:tcMar>
              <w:top w:w="80" w:type="dxa"/>
              <w:start w:w="120" w:type="dxa"/>
              <w:bottom w:w="80" w:type="dxa"/>
              <w:end w:w="120" w:type="dxa"/>
            </w:tcMar>
          </w:tcPr>
          <w:p>
            <w:pPr>
              <w:spacing w:after="0"/>
            </w:pPr>
            <w:r>
              <w:rPr>
                <w:sz w:val="18"/>
              </w:rPr>
              <w:t>Did the Court approve the revised settlement?</w:t>
            </w:r>
          </w:p>
        </w:tc>
        <w:tc>
          <w:tcPr>
            <w:tcW w:type="dxa" w:w="4660"/>
            <w:vAlign w:val="top"/>
            <w:tcMar>
              <w:top w:w="80" w:type="dxa"/>
              <w:start w:w="120" w:type="dxa"/>
              <w:bottom w:w="80" w:type="dxa"/>
              <w:end w:w="120" w:type="dxa"/>
            </w:tcMar>
          </w:tcPr>
          <w:p>
            <w:pPr>
              <w:spacing w:after="0"/>
            </w:pPr>
            <w:r>
              <w:rPr>
                <w:sz w:val="18"/>
              </w:rPr>
              <w:t>Yes; class certified, notice adequate, settlement reasonable; appeal affirmed.</w:t>
            </w:r>
          </w:p>
        </w:tc>
        <w:tc>
          <w:tcPr>
            <w:tcW w:type="dxa" w:w="2000"/>
            <w:vAlign w:val="top"/>
            <w:tcMar>
              <w:top w:w="80" w:type="dxa"/>
              <w:start w:w="120" w:type="dxa"/>
              <w:bottom w:w="80" w:type="dxa"/>
              <w:end w:w="120" w:type="dxa"/>
            </w:tcMar>
          </w:tcPr>
          <w:p>
            <w:pPr>
              <w:spacing w:after="0"/>
            </w:pPr>
            <w:r>
              <w:rPr>
                <w:sz w:val="18"/>
              </w:rPr>
              <w:t>Strong / adjudicated</w:t>
            </w:r>
          </w:p>
        </w:tc>
      </w:tr>
      <w:tr>
        <w:trPr>
          <w:cantSplit/>
        </w:trPr>
        <w:tc>
          <w:tcPr>
            <w:tcW w:type="dxa" w:w="2700"/>
            <w:vAlign w:val="top"/>
            <w:tcMar>
              <w:top w:w="80" w:type="dxa"/>
              <w:start w:w="120" w:type="dxa"/>
              <w:bottom w:w="80" w:type="dxa"/>
              <w:end w:w="120" w:type="dxa"/>
            </w:tcMar>
          </w:tcPr>
          <w:p>
            <w:pPr>
              <w:spacing w:after="0"/>
            </w:pPr>
            <w:r>
              <w:rPr>
                <w:sz w:val="18"/>
              </w:rPr>
              <w:t>Did ACERS’s sales track CIM’s broader AMC reduction?</w:t>
            </w:r>
          </w:p>
        </w:tc>
        <w:tc>
          <w:tcPr>
            <w:tcW w:type="dxa" w:w="4660"/>
            <w:vAlign w:val="top"/>
            <w:tcMar>
              <w:top w:w="80" w:type="dxa"/>
              <w:start w:w="120" w:type="dxa"/>
              <w:bottom w:w="80" w:type="dxa"/>
              <w:end w:w="120" w:type="dxa"/>
            </w:tcMar>
          </w:tcPr>
          <w:p>
            <w:pPr>
              <w:spacing w:after="0"/>
            </w:pPr>
            <w:r>
              <w:rPr>
                <w:sz w:val="18"/>
              </w:rPr>
              <w:t>Yes; the percentages differ by roughly 0.0070 percentage points.</w:t>
            </w:r>
          </w:p>
        </w:tc>
        <w:tc>
          <w:tcPr>
            <w:tcW w:type="dxa" w:w="2000"/>
            <w:vAlign w:val="top"/>
            <w:tcMar>
              <w:top w:w="80" w:type="dxa"/>
              <w:start w:w="120" w:type="dxa"/>
              <w:bottom w:w="80" w:type="dxa"/>
              <w:end w:w="120" w:type="dxa"/>
            </w:tcMar>
          </w:tcPr>
          <w:p>
            <w:pPr>
              <w:spacing w:after="0"/>
            </w:pPr>
            <w:r>
              <w:rPr>
                <w:sz w:val="18"/>
              </w:rPr>
              <w:t>Strong / calculation from filed records</w:t>
            </w:r>
          </w:p>
        </w:tc>
      </w:tr>
      <w:tr>
        <w:trPr>
          <w:cantSplit/>
        </w:trPr>
        <w:tc>
          <w:tcPr>
            <w:tcW w:type="dxa" w:w="2700"/>
            <w:vAlign w:val="top"/>
            <w:tcMar>
              <w:top w:w="80" w:type="dxa"/>
              <w:start w:w="120" w:type="dxa"/>
              <w:bottom w:w="80" w:type="dxa"/>
              <w:end w:w="120" w:type="dxa"/>
            </w:tcMar>
          </w:tcPr>
          <w:p>
            <w:pPr>
              <w:spacing w:after="0"/>
            </w:pPr>
            <w:r>
              <w:rPr>
                <w:sz w:val="18"/>
              </w:rPr>
              <w:t>Did BNY Mellon custody/report ACERS’s AMC position and operate a lending relationship?</w:t>
            </w:r>
          </w:p>
        </w:tc>
        <w:tc>
          <w:tcPr>
            <w:tcW w:type="dxa" w:w="4660"/>
            <w:vAlign w:val="top"/>
            <w:tcMar>
              <w:top w:w="80" w:type="dxa"/>
              <w:start w:w="120" w:type="dxa"/>
              <w:bottom w:w="80" w:type="dxa"/>
              <w:end w:w="120" w:type="dxa"/>
            </w:tcMar>
          </w:tcPr>
          <w:p>
            <w:pPr>
              <w:spacing w:after="0"/>
            </w:pPr>
            <w:r>
              <w:rPr>
                <w:sz w:val="18"/>
              </w:rPr>
              <w:t>Yes, but AMC-specific loan activity is not shown publicly.</w:t>
            </w:r>
          </w:p>
        </w:tc>
        <w:tc>
          <w:tcPr>
            <w:tcW w:type="dxa" w:w="2000"/>
            <w:vAlign w:val="top"/>
            <w:tcMar>
              <w:top w:w="80" w:type="dxa"/>
              <w:start w:w="120" w:type="dxa"/>
              <w:bottom w:w="80" w:type="dxa"/>
              <w:end w:w="120" w:type="dxa"/>
            </w:tcMar>
          </w:tcPr>
          <w:p>
            <w:pPr>
              <w:spacing w:after="0"/>
            </w:pPr>
            <w:r>
              <w:rPr>
                <w:sz w:val="18"/>
              </w:rPr>
              <w:t>Strong for role; unresolved for AMC loan</w:t>
            </w:r>
          </w:p>
        </w:tc>
      </w:tr>
      <w:tr>
        <w:trPr>
          <w:cantSplit/>
        </w:trPr>
        <w:tc>
          <w:tcPr>
            <w:tcW w:type="dxa" w:w="2700"/>
            <w:vAlign w:val="top"/>
            <w:tcMar>
              <w:top w:w="80" w:type="dxa"/>
              <w:start w:w="120" w:type="dxa"/>
              <w:bottom w:w="80" w:type="dxa"/>
              <w:end w:w="120" w:type="dxa"/>
            </w:tcMar>
          </w:tcPr>
          <w:p>
            <w:pPr>
              <w:spacing w:after="0"/>
            </w:pPr>
            <w:r>
              <w:rPr>
                <w:sz w:val="18"/>
              </w:rPr>
              <w:t>Was Citadel the broker or borrower for ACERS AMC?</w:t>
            </w:r>
          </w:p>
        </w:tc>
        <w:tc>
          <w:tcPr>
            <w:tcW w:type="dxa" w:w="4660"/>
            <w:vAlign w:val="top"/>
            <w:tcMar>
              <w:top w:w="80" w:type="dxa"/>
              <w:start w:w="120" w:type="dxa"/>
              <w:bottom w:w="80" w:type="dxa"/>
              <w:end w:w="120" w:type="dxa"/>
            </w:tcMar>
          </w:tcPr>
          <w:p>
            <w:pPr>
              <w:spacing w:after="0"/>
            </w:pPr>
            <w:r>
              <w:rPr>
                <w:sz w:val="18"/>
              </w:rPr>
              <w:t>Not established; exact trade and loan ledgers control the answer.</w:t>
            </w:r>
          </w:p>
        </w:tc>
        <w:tc>
          <w:tcPr>
            <w:tcW w:type="dxa" w:w="2000"/>
            <w:vAlign w:val="top"/>
            <w:tcMar>
              <w:top w:w="80" w:type="dxa"/>
              <w:start w:w="120" w:type="dxa"/>
              <w:bottom w:w="80" w:type="dxa"/>
              <w:end w:w="120" w:type="dxa"/>
            </w:tcMar>
          </w:tcPr>
          <w:p>
            <w:pPr>
              <w:spacing w:after="0"/>
            </w:pPr>
            <w:r>
              <w:rPr>
                <w:sz w:val="18"/>
              </w:rPr>
              <w:t>Unresolved</w:t>
            </w:r>
          </w:p>
        </w:tc>
      </w:tr>
      <w:tr>
        <w:trPr>
          <w:cantSplit/>
        </w:trPr>
        <w:tc>
          <w:tcPr>
            <w:tcW w:type="dxa" w:w="2700"/>
            <w:vAlign w:val="top"/>
            <w:tcMar>
              <w:top w:w="80" w:type="dxa"/>
              <w:start w:w="120" w:type="dxa"/>
              <w:bottom w:w="80" w:type="dxa"/>
              <w:end w:w="120" w:type="dxa"/>
            </w:tcMar>
          </w:tcPr>
          <w:p>
            <w:pPr>
              <w:spacing w:after="0"/>
            </w:pPr>
            <w:r>
              <w:rPr>
                <w:sz w:val="18"/>
              </w:rPr>
              <w:t>Did Citadel or BNY Mellon originate or control the lawsuit?</w:t>
            </w:r>
          </w:p>
        </w:tc>
        <w:tc>
          <w:tcPr>
            <w:tcW w:type="dxa" w:w="4660"/>
            <w:vAlign w:val="top"/>
            <w:tcMar>
              <w:top w:w="80" w:type="dxa"/>
              <w:start w:w="120" w:type="dxa"/>
              <w:bottom w:w="80" w:type="dxa"/>
              <w:end w:w="120" w:type="dxa"/>
            </w:tcMar>
          </w:tcPr>
          <w:p>
            <w:pPr>
              <w:spacing w:after="0"/>
            </w:pPr>
            <w:r>
              <w:rPr>
                <w:sz w:val="18"/>
              </w:rPr>
              <w:t>No public communication, payment, referral, or instruction record proves it.</w:t>
            </w:r>
          </w:p>
        </w:tc>
        <w:tc>
          <w:tcPr>
            <w:tcW w:type="dxa" w:w="2000"/>
            <w:vAlign w:val="top"/>
            <w:tcMar>
              <w:top w:w="80" w:type="dxa"/>
              <w:start w:w="120" w:type="dxa"/>
              <w:bottom w:w="80" w:type="dxa"/>
              <w:end w:w="120" w:type="dxa"/>
            </w:tcMar>
          </w:tcPr>
          <w:p>
            <w:pPr>
              <w:spacing w:after="0"/>
            </w:pPr>
            <w:r>
              <w:rPr>
                <w:sz w:val="18"/>
              </w:rPr>
              <w:t>Unresolved</w:t>
            </w:r>
          </w:p>
        </w:tc>
      </w:tr>
    </w:tbl>
    <w:p>
      <w:pPr>
        <w:spacing w:after="0"/>
      </w:pPr>
    </w:p>
    <w:p>
      <w:pPr>
        <w:pStyle w:val="Heading1"/>
      </w:pPr>
      <w:r>
        <w:t>1. What this report investigates</w:t>
      </w:r>
    </w:p>
    <w:p>
      <w:r>
        <w:t>This report separates two related but distinct questions. First: who generated, authorized, negotiated, and economically benefited from the 2023 AMC common-stockholder litigation and settlement? Second: what happened to the AMC and APE positions, custody entitlements, stock loans, votes, settlement shares, conversion shares, and related market exposures across the relevant accounts?</w:t>
      </w:r>
    </w:p>
    <w:p>
      <w:r>
        <w:t>A custody or stock-loan link cannot, by itself, prove litigation orchestration. A litigation referral or repeat counsel relationship cannot, by itself, prove a market or lending scheme. The allegation becomes concrete only if the financial records and communication records join.</w:t>
      </w:r>
    </w:p>
    <w:p>
      <w:pPr>
        <w:pStyle w:val="Heading1"/>
      </w:pPr>
      <w:r>
        <w:t>2. The litigation and settlement chronology</w:t>
      </w:r>
    </w:p>
    <w:tbl>
      <w:tblPr>
        <w:tblStyle w:val="TableGrid"/>
        <w:tblW w:type="dxa" w:w="9360"/>
        <w:jc w:val="center"/>
        <w:tblLayout w:type="fixed"/>
        <w:tblLook w:firstColumn="1" w:firstRow="1" w:lastColumn="0" w:lastRow="0" w:noHBand="0" w:noVBand="1" w:val="04A0"/>
      </w:tblPr>
      <w:tblGrid>
        <w:gridCol w:w="1300"/>
        <w:gridCol w:w="4300"/>
        <w:gridCol w:w="3760"/>
      </w:tblGrid>
      <w:tr>
        <w:trPr>
          <w:trHeight w:hRule="atLeast"/>
          <w:tblHeader w:val="true"/>
        </w:trPr>
        <w:tc>
          <w:tcPr>
            <w:tcW w:type="dxa" w:w="1300"/>
            <w:shd w:fill="F2F4F7"/>
            <w:vAlign w:val="center"/>
            <w:tcMar>
              <w:top w:w="80" w:type="dxa"/>
              <w:start w:w="120" w:type="dxa"/>
              <w:bottom w:w="80" w:type="dxa"/>
              <w:end w:w="120" w:type="dxa"/>
            </w:tcMar>
          </w:tcPr>
          <w:p>
            <w:pPr>
              <w:spacing w:after="0"/>
            </w:pPr>
            <w:r>
              <w:rPr>
                <w:b/>
                <w:color w:val="17365D"/>
                <w:sz w:val="18"/>
              </w:rPr>
              <w:t>Date</w:t>
            </w:r>
          </w:p>
        </w:tc>
        <w:tc>
          <w:tcPr>
            <w:tcW w:type="dxa" w:w="4300"/>
            <w:shd w:fill="F2F4F7"/>
            <w:vAlign w:val="center"/>
            <w:tcMar>
              <w:top w:w="80" w:type="dxa"/>
              <w:start w:w="120" w:type="dxa"/>
              <w:bottom w:w="80" w:type="dxa"/>
              <w:end w:w="120" w:type="dxa"/>
            </w:tcMar>
          </w:tcPr>
          <w:p>
            <w:pPr>
              <w:spacing w:after="0"/>
            </w:pPr>
            <w:r>
              <w:rPr>
                <w:b/>
                <w:color w:val="17365D"/>
                <w:sz w:val="18"/>
              </w:rPr>
              <w:t>Court/company record</w:t>
            </w:r>
          </w:p>
        </w:tc>
        <w:tc>
          <w:tcPr>
            <w:tcW w:type="dxa" w:w="3760"/>
            <w:shd w:fill="F2F4F7"/>
            <w:vAlign w:val="center"/>
            <w:tcMar>
              <w:top w:w="80" w:type="dxa"/>
              <w:start w:w="120" w:type="dxa"/>
              <w:bottom w:w="80" w:type="dxa"/>
              <w:end w:w="120" w:type="dxa"/>
            </w:tcMar>
          </w:tcPr>
          <w:p>
            <w:pPr>
              <w:spacing w:after="0"/>
            </w:pPr>
            <w:r>
              <w:rPr>
                <w:b/>
                <w:color w:val="17365D"/>
                <w:sz w:val="18"/>
              </w:rPr>
              <w:t>Significance</w:t>
            </w:r>
          </w:p>
        </w:tc>
      </w:tr>
      <w:tr>
        <w:trPr>
          <w:cantSplit/>
        </w:trPr>
        <w:tc>
          <w:tcPr>
            <w:tcW w:type="dxa" w:w="1300"/>
            <w:vAlign w:val="top"/>
            <w:tcMar>
              <w:top w:w="80" w:type="dxa"/>
              <w:start w:w="120" w:type="dxa"/>
              <w:bottom w:w="80" w:type="dxa"/>
              <w:end w:w="120" w:type="dxa"/>
            </w:tcMar>
          </w:tcPr>
          <w:p>
            <w:pPr>
              <w:spacing w:after="0"/>
            </w:pPr>
            <w:r>
              <w:rPr>
                <w:sz w:val="18"/>
              </w:rPr>
              <w:t>Aug. 22, 2022</w:t>
            </w:r>
          </w:p>
        </w:tc>
        <w:tc>
          <w:tcPr>
            <w:tcW w:type="dxa" w:w="4300"/>
            <w:vAlign w:val="top"/>
            <w:tcMar>
              <w:top w:w="80" w:type="dxa"/>
              <w:start w:w="120" w:type="dxa"/>
              <w:bottom w:w="80" w:type="dxa"/>
              <w:end w:w="120" w:type="dxa"/>
            </w:tcMar>
          </w:tcPr>
          <w:p>
            <w:pPr>
              <w:spacing w:after="0"/>
            </w:pPr>
            <w:r>
              <w:rPr>
                <w:sz w:val="18"/>
              </w:rPr>
              <w:t>ACERS received 879 APE units corresponding to its retained AMC shares.</w:t>
            </w:r>
          </w:p>
        </w:tc>
        <w:tc>
          <w:tcPr>
            <w:tcW w:type="dxa" w:w="3760"/>
            <w:vAlign w:val="top"/>
            <w:tcMar>
              <w:top w:w="80" w:type="dxa"/>
              <w:start w:w="120" w:type="dxa"/>
              <w:bottom w:w="80" w:type="dxa"/>
              <w:end w:w="120" w:type="dxa"/>
            </w:tcMar>
          </w:tcPr>
          <w:p>
            <w:pPr>
              <w:spacing w:after="0"/>
            </w:pPr>
            <w:r>
              <w:rPr>
                <w:sz w:val="18"/>
              </w:rPr>
              <w:t>Fixes ACERS’s APE interest before the 2023 suit.</w:t>
            </w:r>
          </w:p>
        </w:tc>
      </w:tr>
      <w:tr>
        <w:trPr>
          <w:cantSplit/>
        </w:trPr>
        <w:tc>
          <w:tcPr>
            <w:tcW w:type="dxa" w:w="1300"/>
            <w:vAlign w:val="top"/>
            <w:tcMar>
              <w:top w:w="80" w:type="dxa"/>
              <w:start w:w="120" w:type="dxa"/>
              <w:bottom w:w="80" w:type="dxa"/>
              <w:end w:w="120" w:type="dxa"/>
            </w:tcMar>
          </w:tcPr>
          <w:p>
            <w:pPr>
              <w:spacing w:after="0"/>
            </w:pPr>
            <w:r>
              <w:rPr>
                <w:sz w:val="18"/>
              </w:rPr>
              <w:t>Dec. 22, 2022</w:t>
            </w:r>
          </w:p>
        </w:tc>
        <w:tc>
          <w:tcPr>
            <w:tcW w:type="dxa" w:w="4300"/>
            <w:vAlign w:val="top"/>
            <w:tcMar>
              <w:top w:w="80" w:type="dxa"/>
              <w:start w:w="120" w:type="dxa"/>
              <w:bottom w:w="80" w:type="dxa"/>
              <w:end w:w="120" w:type="dxa"/>
            </w:tcMar>
          </w:tcPr>
          <w:p>
            <w:pPr>
              <w:spacing w:after="0"/>
            </w:pPr>
            <w:r>
              <w:rPr>
                <w:sz w:val="18"/>
              </w:rPr>
              <w:t>AMC announced the Antara transactions.</w:t>
            </w:r>
          </w:p>
        </w:tc>
        <w:tc>
          <w:tcPr>
            <w:tcW w:type="dxa" w:w="3760"/>
            <w:vAlign w:val="top"/>
            <w:tcMar>
              <w:top w:w="80" w:type="dxa"/>
              <w:start w:w="120" w:type="dxa"/>
              <w:bottom w:w="80" w:type="dxa"/>
              <w:end w:w="120" w:type="dxa"/>
            </w:tcMar>
          </w:tcPr>
          <w:p>
            <w:pPr>
              <w:spacing w:after="0"/>
            </w:pPr>
            <w:r>
              <w:rPr>
                <w:sz w:val="18"/>
              </w:rPr>
              <w:t>Core transaction challenged by the later complaints.</w:t>
            </w:r>
          </w:p>
        </w:tc>
      </w:tr>
      <w:tr>
        <w:trPr>
          <w:cantSplit/>
        </w:trPr>
        <w:tc>
          <w:tcPr>
            <w:tcW w:type="dxa" w:w="1300"/>
            <w:vAlign w:val="top"/>
            <w:tcMar>
              <w:top w:w="80" w:type="dxa"/>
              <w:start w:w="120" w:type="dxa"/>
              <w:bottom w:w="80" w:type="dxa"/>
              <w:end w:w="120" w:type="dxa"/>
            </w:tcMar>
          </w:tcPr>
          <w:p>
            <w:pPr>
              <w:spacing w:after="0"/>
            </w:pPr>
            <w:r>
              <w:rPr>
                <w:sz w:val="18"/>
              </w:rPr>
              <w:t>Feb. 20, 2023</w:t>
            </w:r>
          </w:p>
        </w:tc>
        <w:tc>
          <w:tcPr>
            <w:tcW w:type="dxa" w:w="4300"/>
            <w:vAlign w:val="top"/>
            <w:tcMar>
              <w:top w:w="80" w:type="dxa"/>
              <w:start w:w="120" w:type="dxa"/>
              <w:bottom w:w="80" w:type="dxa"/>
              <w:end w:w="120" w:type="dxa"/>
            </w:tcMar>
          </w:tcPr>
          <w:p>
            <w:pPr>
              <w:spacing w:after="0"/>
            </w:pPr>
            <w:r>
              <w:rPr>
                <w:sz w:val="18"/>
              </w:rPr>
              <w:t>ACERS and Franchi/Munoz actions filed.</w:t>
            </w:r>
          </w:p>
        </w:tc>
        <w:tc>
          <w:tcPr>
            <w:tcW w:type="dxa" w:w="3760"/>
            <w:vAlign w:val="top"/>
            <w:tcMar>
              <w:top w:w="80" w:type="dxa"/>
              <w:start w:w="120" w:type="dxa"/>
              <w:bottom w:w="80" w:type="dxa"/>
              <w:end w:w="120" w:type="dxa"/>
            </w:tcMar>
          </w:tcPr>
          <w:p>
            <w:pPr>
              <w:spacing w:after="0"/>
            </w:pPr>
            <w:r>
              <w:rPr>
                <w:sz w:val="18"/>
              </w:rPr>
              <w:t>Start of the consolidated litigation.</w:t>
            </w:r>
          </w:p>
        </w:tc>
      </w:tr>
      <w:tr>
        <w:trPr>
          <w:cantSplit/>
        </w:trPr>
        <w:tc>
          <w:tcPr>
            <w:tcW w:type="dxa" w:w="1300"/>
            <w:vAlign w:val="top"/>
            <w:tcMar>
              <w:top w:w="80" w:type="dxa"/>
              <w:start w:w="120" w:type="dxa"/>
              <w:bottom w:w="80" w:type="dxa"/>
              <w:end w:w="120" w:type="dxa"/>
            </w:tcMar>
          </w:tcPr>
          <w:p>
            <w:pPr>
              <w:spacing w:after="0"/>
            </w:pPr>
            <w:r>
              <w:rPr>
                <w:sz w:val="18"/>
              </w:rPr>
              <w:t>Mar. 2</w:t>
            </w:r>
          </w:p>
        </w:tc>
        <w:tc>
          <w:tcPr>
            <w:tcW w:type="dxa" w:w="4300"/>
            <w:vAlign w:val="top"/>
            <w:tcMar>
              <w:top w:w="80" w:type="dxa"/>
              <w:start w:w="120" w:type="dxa"/>
              <w:bottom w:w="80" w:type="dxa"/>
              <w:end w:w="120" w:type="dxa"/>
            </w:tcMar>
          </w:tcPr>
          <w:p>
            <w:pPr>
              <w:spacing w:after="0"/>
            </w:pPr>
            <w:r>
              <w:rPr>
                <w:sz w:val="18"/>
              </w:rPr>
              <w:t>Court consolidated the cases and appointed lead counsel.</w:t>
            </w:r>
          </w:p>
        </w:tc>
        <w:tc>
          <w:tcPr>
            <w:tcW w:type="dxa" w:w="3760"/>
            <w:vAlign w:val="top"/>
            <w:tcMar>
              <w:top w:w="80" w:type="dxa"/>
              <w:start w:w="120" w:type="dxa"/>
              <w:bottom w:w="80" w:type="dxa"/>
              <w:end w:w="120" w:type="dxa"/>
            </w:tcMar>
          </w:tcPr>
          <w:p>
            <w:pPr>
              <w:spacing w:after="0"/>
            </w:pPr>
            <w:r>
              <w:rPr>
                <w:sz w:val="18"/>
              </w:rPr>
              <w:t>Plaintiff-side control structure fixed.</w:t>
            </w:r>
          </w:p>
        </w:tc>
      </w:tr>
      <w:tr>
        <w:trPr>
          <w:cantSplit/>
        </w:trPr>
        <w:tc>
          <w:tcPr>
            <w:tcW w:type="dxa" w:w="1300"/>
            <w:vAlign w:val="top"/>
            <w:tcMar>
              <w:top w:w="80" w:type="dxa"/>
              <w:start w:w="120" w:type="dxa"/>
              <w:bottom w:w="80" w:type="dxa"/>
              <w:end w:w="120" w:type="dxa"/>
            </w:tcMar>
          </w:tcPr>
          <w:p>
            <w:pPr>
              <w:spacing w:after="0"/>
            </w:pPr>
            <w:r>
              <w:rPr>
                <w:sz w:val="18"/>
              </w:rPr>
              <w:t>Mar. 14</w:t>
            </w:r>
          </w:p>
        </w:tc>
        <w:tc>
          <w:tcPr>
            <w:tcW w:type="dxa" w:w="4300"/>
            <w:vAlign w:val="top"/>
            <w:tcMar>
              <w:top w:w="80" w:type="dxa"/>
              <w:start w:w="120" w:type="dxa"/>
              <w:bottom w:w="80" w:type="dxa"/>
              <w:end w:w="120" w:type="dxa"/>
            </w:tcMar>
          </w:tcPr>
          <w:p>
            <w:pPr>
              <w:spacing w:after="0"/>
            </w:pPr>
            <w:r>
              <w:rPr>
                <w:sz w:val="18"/>
              </w:rPr>
              <w:t>AMC stockholder special meeting.</w:t>
            </w:r>
          </w:p>
        </w:tc>
        <w:tc>
          <w:tcPr>
            <w:tcW w:type="dxa" w:w="3760"/>
            <w:vAlign w:val="top"/>
            <w:tcMar>
              <w:top w:w="80" w:type="dxa"/>
              <w:start w:w="120" w:type="dxa"/>
              <w:bottom w:w="80" w:type="dxa"/>
              <w:end w:w="120" w:type="dxa"/>
            </w:tcMar>
          </w:tcPr>
          <w:p>
            <w:pPr>
              <w:spacing w:after="0"/>
            </w:pPr>
            <w:r>
              <w:rPr>
                <w:sz w:val="18"/>
              </w:rPr>
              <w:t>Vote preceded mediation and term sheet.</w:t>
            </w:r>
          </w:p>
        </w:tc>
      </w:tr>
      <w:tr>
        <w:trPr>
          <w:cantSplit/>
        </w:trPr>
        <w:tc>
          <w:tcPr>
            <w:tcW w:type="dxa" w:w="1300"/>
            <w:vAlign w:val="top"/>
            <w:tcMar>
              <w:top w:w="80" w:type="dxa"/>
              <w:start w:w="120" w:type="dxa"/>
              <w:bottom w:w="80" w:type="dxa"/>
              <w:end w:w="120" w:type="dxa"/>
            </w:tcMar>
          </w:tcPr>
          <w:p>
            <w:pPr>
              <w:spacing w:after="0"/>
            </w:pPr>
            <w:r>
              <w:rPr>
                <w:sz w:val="18"/>
              </w:rPr>
              <w:t>Late March</w:t>
            </w:r>
          </w:p>
        </w:tc>
        <w:tc>
          <w:tcPr>
            <w:tcW w:type="dxa" w:w="4300"/>
            <w:vAlign w:val="top"/>
            <w:tcMar>
              <w:top w:w="80" w:type="dxa"/>
              <w:start w:w="120" w:type="dxa"/>
              <w:bottom w:w="80" w:type="dxa"/>
              <w:end w:w="120" w:type="dxa"/>
            </w:tcMar>
          </w:tcPr>
          <w:p>
            <w:pPr>
              <w:spacing w:after="0"/>
            </w:pPr>
            <w:r>
              <w:rPr>
                <w:sz w:val="18"/>
              </w:rPr>
              <w:t>Mediation began roughly two weeks after the special meeting.</w:t>
            </w:r>
          </w:p>
        </w:tc>
        <w:tc>
          <w:tcPr>
            <w:tcW w:type="dxa" w:w="3760"/>
            <w:vAlign w:val="top"/>
            <w:tcMar>
              <w:top w:w="80" w:type="dxa"/>
              <w:start w:w="120" w:type="dxa"/>
              <w:bottom w:w="80" w:type="dxa"/>
              <w:end w:w="120" w:type="dxa"/>
            </w:tcMar>
          </w:tcPr>
          <w:p>
            <w:pPr>
              <w:spacing w:after="0"/>
            </w:pPr>
            <w:r>
              <w:rPr>
                <w:sz w:val="18"/>
              </w:rPr>
              <w:t>Compressed path to settlement.</w:t>
            </w:r>
          </w:p>
        </w:tc>
      </w:tr>
      <w:tr>
        <w:trPr>
          <w:cantSplit/>
        </w:trPr>
        <w:tc>
          <w:tcPr>
            <w:tcW w:type="dxa" w:w="1300"/>
            <w:vAlign w:val="top"/>
            <w:tcMar>
              <w:top w:w="80" w:type="dxa"/>
              <w:start w:w="120" w:type="dxa"/>
              <w:bottom w:w="80" w:type="dxa"/>
              <w:end w:w="120" w:type="dxa"/>
            </w:tcMar>
          </w:tcPr>
          <w:p>
            <w:pPr>
              <w:spacing w:after="0"/>
            </w:pPr>
            <w:r>
              <w:rPr>
                <w:sz w:val="18"/>
              </w:rPr>
              <w:t>Apr. 2</w:t>
            </w:r>
          </w:p>
        </w:tc>
        <w:tc>
          <w:tcPr>
            <w:tcW w:type="dxa" w:w="4300"/>
            <w:vAlign w:val="top"/>
            <w:tcMar>
              <w:top w:w="80" w:type="dxa"/>
              <w:start w:w="120" w:type="dxa"/>
              <w:bottom w:w="80" w:type="dxa"/>
              <w:end w:w="120" w:type="dxa"/>
            </w:tcMar>
          </w:tcPr>
          <w:p>
            <w:pPr>
              <w:spacing w:after="0"/>
            </w:pPr>
            <w:r>
              <w:rPr>
                <w:sz w:val="18"/>
              </w:rPr>
              <w:t>Binding settlement term sheet executed.</w:t>
            </w:r>
          </w:p>
        </w:tc>
        <w:tc>
          <w:tcPr>
            <w:tcW w:type="dxa" w:w="3760"/>
            <w:vAlign w:val="top"/>
            <w:tcMar>
              <w:top w:w="80" w:type="dxa"/>
              <w:start w:w="120" w:type="dxa"/>
              <w:bottom w:w="80" w:type="dxa"/>
              <w:end w:w="120" w:type="dxa"/>
            </w:tcMar>
          </w:tcPr>
          <w:p>
            <w:pPr>
              <w:spacing w:after="0"/>
            </w:pPr>
            <w:r>
              <w:rPr>
                <w:sz w:val="18"/>
              </w:rPr>
              <w:t>Approximately 41 days after filing.</w:t>
            </w:r>
          </w:p>
        </w:tc>
      </w:tr>
      <w:tr>
        <w:trPr>
          <w:cantSplit/>
        </w:trPr>
        <w:tc>
          <w:tcPr>
            <w:tcW w:type="dxa" w:w="1300"/>
            <w:vAlign w:val="top"/>
            <w:tcMar>
              <w:top w:w="80" w:type="dxa"/>
              <w:start w:w="120" w:type="dxa"/>
              <w:bottom w:w="80" w:type="dxa"/>
              <w:end w:w="120" w:type="dxa"/>
            </w:tcMar>
          </w:tcPr>
          <w:p>
            <w:pPr>
              <w:spacing w:after="0"/>
            </w:pPr>
            <w:r>
              <w:rPr>
                <w:sz w:val="18"/>
              </w:rPr>
              <w:t>Apr. 3</w:t>
            </w:r>
          </w:p>
        </w:tc>
        <w:tc>
          <w:tcPr>
            <w:tcW w:type="dxa" w:w="4300"/>
            <w:vAlign w:val="top"/>
            <w:tcMar>
              <w:top w:w="80" w:type="dxa"/>
              <w:start w:w="120" w:type="dxa"/>
              <w:bottom w:w="80" w:type="dxa"/>
              <w:end w:w="120" w:type="dxa"/>
            </w:tcMar>
          </w:tcPr>
          <w:p>
            <w:pPr>
              <w:spacing w:after="0"/>
            </w:pPr>
            <w:r>
              <w:rPr>
                <w:sz w:val="18"/>
              </w:rPr>
              <w:t>Unopposed motion to lift status quo order filed.</w:t>
            </w:r>
          </w:p>
        </w:tc>
        <w:tc>
          <w:tcPr>
            <w:tcW w:type="dxa" w:w="3760"/>
            <w:vAlign w:val="top"/>
            <w:tcMar>
              <w:top w:w="80" w:type="dxa"/>
              <w:start w:w="120" w:type="dxa"/>
              <w:bottom w:w="80" w:type="dxa"/>
              <w:end w:w="120" w:type="dxa"/>
            </w:tcMar>
          </w:tcPr>
          <w:p>
            <w:pPr>
              <w:spacing w:after="0"/>
            </w:pPr>
            <w:r>
              <w:rPr>
                <w:sz w:val="18"/>
              </w:rPr>
              <w:t>Sought implementation before notice/final approval.</w:t>
            </w:r>
          </w:p>
        </w:tc>
      </w:tr>
      <w:tr>
        <w:trPr>
          <w:cantSplit/>
        </w:trPr>
        <w:tc>
          <w:tcPr>
            <w:tcW w:type="dxa" w:w="1300"/>
            <w:vAlign w:val="top"/>
            <w:tcMar>
              <w:top w:w="80" w:type="dxa"/>
              <w:start w:w="120" w:type="dxa"/>
              <w:bottom w:w="80" w:type="dxa"/>
              <w:end w:w="120" w:type="dxa"/>
            </w:tcMar>
          </w:tcPr>
          <w:p>
            <w:pPr>
              <w:spacing w:after="0"/>
            </w:pPr>
            <w:r>
              <w:rPr>
                <w:sz w:val="18"/>
              </w:rPr>
              <w:t>Apr. 5</w:t>
            </w:r>
          </w:p>
        </w:tc>
        <w:tc>
          <w:tcPr>
            <w:tcW w:type="dxa" w:w="4300"/>
            <w:vAlign w:val="top"/>
            <w:tcMar>
              <w:top w:w="80" w:type="dxa"/>
              <w:start w:w="120" w:type="dxa"/>
              <w:bottom w:w="80" w:type="dxa"/>
              <w:end w:w="120" w:type="dxa"/>
            </w:tcMar>
          </w:tcPr>
          <w:p>
            <w:pPr>
              <w:spacing w:after="0"/>
            </w:pPr>
            <w:r>
              <w:rPr>
                <w:sz w:val="18"/>
              </w:rPr>
              <w:t>Court denied the motion.</w:t>
            </w:r>
          </w:p>
        </w:tc>
        <w:tc>
          <w:tcPr>
            <w:tcW w:type="dxa" w:w="3760"/>
            <w:vAlign w:val="top"/>
            <w:tcMar>
              <w:top w:w="80" w:type="dxa"/>
              <w:start w:w="120" w:type="dxa"/>
              <w:bottom w:w="80" w:type="dxa"/>
              <w:end w:w="120" w:type="dxa"/>
            </w:tcMar>
          </w:tcPr>
          <w:p>
            <w:pPr>
              <w:spacing w:after="0"/>
            </w:pPr>
            <w:r>
              <w:rPr>
                <w:sz w:val="18"/>
              </w:rPr>
              <w:t>Preserved status quo pending review.</w:t>
            </w:r>
          </w:p>
        </w:tc>
      </w:tr>
      <w:tr>
        <w:trPr>
          <w:cantSplit/>
        </w:trPr>
        <w:tc>
          <w:tcPr>
            <w:tcW w:type="dxa" w:w="1300"/>
            <w:vAlign w:val="top"/>
            <w:tcMar>
              <w:top w:w="80" w:type="dxa"/>
              <w:start w:w="120" w:type="dxa"/>
              <w:bottom w:w="80" w:type="dxa"/>
              <w:end w:w="120" w:type="dxa"/>
            </w:tcMar>
          </w:tcPr>
          <w:p>
            <w:pPr>
              <w:spacing w:after="0"/>
            </w:pPr>
            <w:r>
              <w:rPr>
                <w:sz w:val="18"/>
              </w:rPr>
              <w:t>Apr. 27</w:t>
            </w:r>
          </w:p>
        </w:tc>
        <w:tc>
          <w:tcPr>
            <w:tcW w:type="dxa" w:w="4300"/>
            <w:vAlign w:val="top"/>
            <w:tcMar>
              <w:top w:w="80" w:type="dxa"/>
              <w:start w:w="120" w:type="dxa"/>
              <w:bottom w:w="80" w:type="dxa"/>
              <w:end w:w="120" w:type="dxa"/>
            </w:tcMar>
          </w:tcPr>
          <w:p>
            <w:pPr>
              <w:spacing w:after="0"/>
            </w:pPr>
            <w:r>
              <w:rPr>
                <w:sz w:val="18"/>
              </w:rPr>
              <w:t>Settlement stipulation filed; scheduled PI hearing date.</w:t>
            </w:r>
          </w:p>
        </w:tc>
        <w:tc>
          <w:tcPr>
            <w:tcW w:type="dxa" w:w="3760"/>
            <w:vAlign w:val="top"/>
            <w:tcMar>
              <w:top w:w="80" w:type="dxa"/>
              <w:start w:w="120" w:type="dxa"/>
              <w:bottom w:w="80" w:type="dxa"/>
              <w:end w:w="120" w:type="dxa"/>
            </w:tcMar>
          </w:tcPr>
          <w:p>
            <w:pPr>
              <w:spacing w:after="0"/>
            </w:pPr>
            <w:r>
              <w:rPr>
                <w:sz w:val="18"/>
              </w:rPr>
              <w:t>Court later noted no depositions or PI briefs preceded settlement.</w:t>
            </w:r>
          </w:p>
        </w:tc>
      </w:tr>
      <w:tr>
        <w:trPr>
          <w:cantSplit/>
        </w:trPr>
        <w:tc>
          <w:tcPr>
            <w:tcW w:type="dxa" w:w="1300"/>
            <w:vAlign w:val="top"/>
            <w:tcMar>
              <w:top w:w="80" w:type="dxa"/>
              <w:start w:w="120" w:type="dxa"/>
              <w:bottom w:w="80" w:type="dxa"/>
              <w:end w:w="120" w:type="dxa"/>
            </w:tcMar>
          </w:tcPr>
          <w:p>
            <w:pPr>
              <w:spacing w:after="0"/>
            </w:pPr>
            <w:r>
              <w:rPr>
                <w:sz w:val="18"/>
              </w:rPr>
              <w:t>July 21</w:t>
            </w:r>
          </w:p>
        </w:tc>
        <w:tc>
          <w:tcPr>
            <w:tcW w:type="dxa" w:w="4300"/>
            <w:vAlign w:val="top"/>
            <w:tcMar>
              <w:top w:w="80" w:type="dxa"/>
              <w:start w:w="120" w:type="dxa"/>
              <w:bottom w:w="80" w:type="dxa"/>
              <w:end w:w="120" w:type="dxa"/>
            </w:tcMar>
          </w:tcPr>
          <w:p>
            <w:pPr>
              <w:spacing w:after="0"/>
            </w:pPr>
            <w:r>
              <w:rPr>
                <w:sz w:val="18"/>
              </w:rPr>
              <w:t>Court declined initial settlement because the release was unsound/overbroad as to APE claims.</w:t>
            </w:r>
          </w:p>
        </w:tc>
        <w:tc>
          <w:tcPr>
            <w:tcW w:type="dxa" w:w="3760"/>
            <w:vAlign w:val="top"/>
            <w:tcMar>
              <w:top w:w="80" w:type="dxa"/>
              <w:start w:w="120" w:type="dxa"/>
              <w:bottom w:w="80" w:type="dxa"/>
              <w:end w:w="120" w:type="dxa"/>
            </w:tcMar>
          </w:tcPr>
          <w:p>
            <w:pPr>
              <w:spacing w:after="0"/>
            </w:pPr>
            <w:r>
              <w:rPr>
                <w:sz w:val="18"/>
              </w:rPr>
              <w:t>Initial structure failed judicial review.</w:t>
            </w:r>
          </w:p>
        </w:tc>
      </w:tr>
      <w:tr>
        <w:trPr>
          <w:cantSplit/>
        </w:trPr>
        <w:tc>
          <w:tcPr>
            <w:tcW w:type="dxa" w:w="1300"/>
            <w:vAlign w:val="top"/>
            <w:tcMar>
              <w:top w:w="80" w:type="dxa"/>
              <w:start w:w="120" w:type="dxa"/>
              <w:bottom w:w="80" w:type="dxa"/>
              <w:end w:w="120" w:type="dxa"/>
            </w:tcMar>
          </w:tcPr>
          <w:p>
            <w:pPr>
              <w:spacing w:after="0"/>
            </w:pPr>
            <w:r>
              <w:rPr>
                <w:sz w:val="18"/>
              </w:rPr>
              <w:t>July 22</w:t>
            </w:r>
          </w:p>
        </w:tc>
        <w:tc>
          <w:tcPr>
            <w:tcW w:type="dxa" w:w="4300"/>
            <w:vAlign w:val="top"/>
            <w:tcMar>
              <w:top w:w="80" w:type="dxa"/>
              <w:start w:w="120" w:type="dxa"/>
              <w:bottom w:w="80" w:type="dxa"/>
              <w:end w:w="120" w:type="dxa"/>
            </w:tcMar>
          </w:tcPr>
          <w:p>
            <w:pPr>
              <w:spacing w:after="0"/>
            </w:pPr>
            <w:r>
              <w:rPr>
                <w:sz w:val="18"/>
              </w:rPr>
              <w:t>Parties removed the offending provision and resubmitted.</w:t>
            </w:r>
          </w:p>
        </w:tc>
        <w:tc>
          <w:tcPr>
            <w:tcW w:type="dxa" w:w="3760"/>
            <w:vAlign w:val="top"/>
            <w:tcMar>
              <w:top w:w="80" w:type="dxa"/>
              <w:start w:w="120" w:type="dxa"/>
              <w:bottom w:w="80" w:type="dxa"/>
              <w:end w:w="120" w:type="dxa"/>
            </w:tcMar>
          </w:tcPr>
          <w:p>
            <w:pPr>
              <w:spacing w:after="0"/>
            </w:pPr>
            <w:r>
              <w:rPr>
                <w:sz w:val="18"/>
              </w:rPr>
              <w:t>Rapid cure of the release problem.</w:t>
            </w:r>
          </w:p>
        </w:tc>
      </w:tr>
      <w:tr>
        <w:trPr>
          <w:cantSplit/>
        </w:trPr>
        <w:tc>
          <w:tcPr>
            <w:tcW w:type="dxa" w:w="1300"/>
            <w:vAlign w:val="top"/>
            <w:tcMar>
              <w:top w:w="80" w:type="dxa"/>
              <w:start w:w="120" w:type="dxa"/>
              <w:bottom w:w="80" w:type="dxa"/>
              <w:end w:w="120" w:type="dxa"/>
            </w:tcMar>
          </w:tcPr>
          <w:p>
            <w:pPr>
              <w:spacing w:after="0"/>
            </w:pPr>
            <w:r>
              <w:rPr>
                <w:sz w:val="18"/>
              </w:rPr>
              <w:t>Aug. 11</w:t>
            </w:r>
          </w:p>
        </w:tc>
        <w:tc>
          <w:tcPr>
            <w:tcW w:type="dxa" w:w="4300"/>
            <w:vAlign w:val="top"/>
            <w:tcMar>
              <w:top w:w="80" w:type="dxa"/>
              <w:start w:w="120" w:type="dxa"/>
              <w:bottom w:w="80" w:type="dxa"/>
              <w:end w:w="120" w:type="dxa"/>
            </w:tcMar>
          </w:tcPr>
          <w:p>
            <w:pPr>
              <w:spacing w:after="0"/>
            </w:pPr>
            <w:r>
              <w:rPr>
                <w:sz w:val="18"/>
              </w:rPr>
              <w:t>Court approved revised settlement and lifted status quo.</w:t>
            </w:r>
          </w:p>
        </w:tc>
        <w:tc>
          <w:tcPr>
            <w:tcW w:type="dxa" w:w="3760"/>
            <w:vAlign w:val="top"/>
            <w:tcMar>
              <w:top w:w="80" w:type="dxa"/>
              <w:start w:w="120" w:type="dxa"/>
              <w:bottom w:w="80" w:type="dxa"/>
              <w:end w:w="120" w:type="dxa"/>
            </w:tcMar>
          </w:tcPr>
          <w:p>
            <w:pPr>
              <w:spacing w:after="0"/>
            </w:pPr>
            <w:r>
              <w:rPr>
                <w:sz w:val="18"/>
              </w:rPr>
              <w:t>Conversion path cleared.</w:t>
            </w:r>
          </w:p>
        </w:tc>
      </w:tr>
      <w:tr>
        <w:trPr>
          <w:cantSplit/>
        </w:trPr>
        <w:tc>
          <w:tcPr>
            <w:tcW w:type="dxa" w:w="1300"/>
            <w:vAlign w:val="top"/>
            <w:tcMar>
              <w:top w:w="80" w:type="dxa"/>
              <w:start w:w="120" w:type="dxa"/>
              <w:bottom w:w="80" w:type="dxa"/>
              <w:end w:w="120" w:type="dxa"/>
            </w:tcMar>
          </w:tcPr>
          <w:p>
            <w:pPr>
              <w:spacing w:after="0"/>
            </w:pPr>
            <w:r>
              <w:rPr>
                <w:sz w:val="18"/>
              </w:rPr>
              <w:t>Aug. 24–28</w:t>
            </w:r>
          </w:p>
        </w:tc>
        <w:tc>
          <w:tcPr>
            <w:tcW w:type="dxa" w:w="4300"/>
            <w:vAlign w:val="top"/>
            <w:tcMar>
              <w:top w:w="80" w:type="dxa"/>
              <w:start w:w="120" w:type="dxa"/>
              <w:bottom w:w="80" w:type="dxa"/>
              <w:end w:w="120" w:type="dxa"/>
            </w:tcMar>
          </w:tcPr>
          <w:p>
            <w:pPr>
              <w:spacing w:after="0"/>
            </w:pPr>
            <w:r>
              <w:rPr>
                <w:sz w:val="18"/>
              </w:rPr>
              <w:t>1-for-10 reverse split, APE conversion, and settlement-share issuance.</w:t>
            </w:r>
          </w:p>
        </w:tc>
        <w:tc>
          <w:tcPr>
            <w:tcW w:type="dxa" w:w="3760"/>
            <w:vAlign w:val="top"/>
            <w:tcMar>
              <w:top w:w="80" w:type="dxa"/>
              <w:start w:w="120" w:type="dxa"/>
              <w:bottom w:w="80" w:type="dxa"/>
              <w:end w:w="120" w:type="dxa"/>
            </w:tcMar>
          </w:tcPr>
          <w:p>
            <w:pPr>
              <w:spacing w:after="0"/>
            </w:pPr>
            <w:r>
              <w:rPr>
                <w:sz w:val="18"/>
              </w:rPr>
              <w:t>Functional culmination of the transaction sequence.</w:t>
            </w:r>
          </w:p>
        </w:tc>
      </w:tr>
      <w:tr>
        <w:trPr>
          <w:cantSplit/>
        </w:trPr>
        <w:tc>
          <w:tcPr>
            <w:tcW w:type="dxa" w:w="1300"/>
            <w:vAlign w:val="top"/>
            <w:tcMar>
              <w:top w:w="80" w:type="dxa"/>
              <w:start w:w="120" w:type="dxa"/>
              <w:bottom w:w="80" w:type="dxa"/>
              <w:end w:w="120" w:type="dxa"/>
            </w:tcMar>
          </w:tcPr>
          <w:p>
            <w:pPr>
              <w:spacing w:after="0"/>
            </w:pPr>
            <w:r>
              <w:rPr>
                <w:sz w:val="18"/>
              </w:rPr>
              <w:t>May 22, 2024</w:t>
            </w:r>
          </w:p>
        </w:tc>
        <w:tc>
          <w:tcPr>
            <w:tcW w:type="dxa" w:w="4300"/>
            <w:vAlign w:val="top"/>
            <w:tcMar>
              <w:top w:w="80" w:type="dxa"/>
              <w:start w:w="120" w:type="dxa"/>
              <w:bottom w:w="80" w:type="dxa"/>
              <w:end w:w="120" w:type="dxa"/>
            </w:tcMar>
          </w:tcPr>
          <w:p>
            <w:pPr>
              <w:spacing w:after="0"/>
            </w:pPr>
            <w:r>
              <w:rPr>
                <w:sz w:val="18"/>
              </w:rPr>
              <w:t>Delaware Supreme Court affirmed approval.</w:t>
            </w:r>
          </w:p>
        </w:tc>
        <w:tc>
          <w:tcPr>
            <w:tcW w:type="dxa" w:w="3760"/>
            <w:vAlign w:val="top"/>
            <w:tcMar>
              <w:top w:w="80" w:type="dxa"/>
              <w:start w:w="120" w:type="dxa"/>
              <w:bottom w:w="80" w:type="dxa"/>
              <w:end w:w="120" w:type="dxa"/>
            </w:tcMar>
          </w:tcPr>
          <w:p>
            <w:pPr>
              <w:spacing w:after="0"/>
            </w:pPr>
            <w:r>
              <w:rPr>
                <w:sz w:val="18"/>
              </w:rPr>
              <w:t>Appellate validation of the settlement ruling.</w:t>
            </w:r>
          </w:p>
        </w:tc>
      </w:tr>
      <w:tr>
        <w:trPr>
          <w:cantSplit/>
        </w:trPr>
        <w:tc>
          <w:tcPr>
            <w:tcW w:type="dxa" w:w="1300"/>
            <w:vAlign w:val="top"/>
            <w:tcMar>
              <w:top w:w="80" w:type="dxa"/>
              <w:start w:w="120" w:type="dxa"/>
              <w:bottom w:w="80" w:type="dxa"/>
              <w:end w:w="120" w:type="dxa"/>
            </w:tcMar>
          </w:tcPr>
          <w:p>
            <w:pPr>
              <w:spacing w:after="0"/>
            </w:pPr>
            <w:r>
              <w:rPr>
                <w:sz w:val="18"/>
              </w:rPr>
              <w:t>Oct. 7, 2024</w:t>
            </w:r>
          </w:p>
        </w:tc>
        <w:tc>
          <w:tcPr>
            <w:tcW w:type="dxa" w:w="4300"/>
            <w:vAlign w:val="top"/>
            <w:tcMar>
              <w:top w:w="80" w:type="dxa"/>
              <w:start w:w="120" w:type="dxa"/>
              <w:bottom w:w="80" w:type="dxa"/>
              <w:end w:w="120" w:type="dxa"/>
            </w:tcMar>
          </w:tcPr>
          <w:p>
            <w:pPr>
              <w:spacing w:after="0"/>
            </w:pPr>
            <w:r>
              <w:rPr>
                <w:sz w:val="18"/>
              </w:rPr>
              <w:t>U.S. Supreme Court denied certiorari.</w:t>
            </w:r>
          </w:p>
        </w:tc>
        <w:tc>
          <w:tcPr>
            <w:tcW w:type="dxa" w:w="3760"/>
            <w:vAlign w:val="top"/>
            <w:tcMar>
              <w:top w:w="80" w:type="dxa"/>
              <w:start w:w="120" w:type="dxa"/>
              <w:bottom w:w="80" w:type="dxa"/>
              <w:end w:w="120" w:type="dxa"/>
            </w:tcMar>
          </w:tcPr>
          <w:p>
            <w:pPr>
              <w:spacing w:after="0"/>
            </w:pPr>
            <w:r>
              <w:rPr>
                <w:sz w:val="18"/>
              </w:rPr>
              <w:t>Review ended.</w:t>
            </w:r>
          </w:p>
        </w:tc>
      </w:tr>
    </w:tbl>
    <w:p>
      <w:pPr>
        <w:spacing w:after="0"/>
      </w:pPr>
    </w:p>
    <w:p>
      <w:pPr>
        <w:pStyle w:val="Heading1"/>
      </w:pPr>
      <w:r>
        <w:t>3. What the Court found—and what it did not</w:t>
      </w:r>
    </w:p>
    <w:p>
      <w:pPr>
        <w:pStyle w:val="Heading2"/>
      </w:pPr>
      <w:r>
        <w:t>3.1 Findings that constrain any accusation</w:t>
      </w:r>
    </w:p>
    <w:p>
      <w:pPr>
        <w:pStyle w:val="ListBullet"/>
      </w:pPr>
      <w:r>
        <w:t>The revised settlement was reasonable.</w:t>
      </w:r>
    </w:p>
    <w:p>
      <w:pPr>
        <w:pStyle w:val="ListBullet"/>
      </w:pPr>
      <w:r>
        <w:t>The non-opt-out class could be certified and notice was adequate under Delaware law.</w:t>
      </w:r>
    </w:p>
    <w:p>
      <w:pPr>
        <w:pStyle w:val="ListBullet"/>
      </w:pPr>
      <w:r>
        <w:t>The fiduciary-duty claim had merit, although identifying a beneficial equitable remedy was difficult.</w:t>
      </w:r>
    </w:p>
    <w:p>
      <w:pPr>
        <w:pStyle w:val="ListBullet"/>
      </w:pPr>
      <w:r>
        <w:t>The Section 242 statutory claim had no merit.</w:t>
      </w:r>
    </w:p>
    <w:p>
      <w:pPr>
        <w:pStyle w:val="ListBullet"/>
      </w:pPr>
      <w:r>
        <w:t>Counsel earned a fee worth 12% of the consideration; $5,000 incentive awards were appropriate.</w:t>
      </w:r>
    </w:p>
    <w:p>
      <w:pPr>
        <w:pStyle w:val="ListBullet"/>
      </w:pPr>
      <w:r>
        <w:t>The Court did not make a fraud, conspiracy, collusion, Citadel, or BNY Mellon finding.</w:t>
      </w:r>
    </w:p>
    <w:p>
      <w:pPr>
        <w:pStyle w:val="Heading2"/>
      </w:pPr>
      <w:r>
        <w:t>3.2 Facts that justify a process investigation</w:t>
      </w:r>
    </w:p>
    <w:p>
      <w:pPr>
        <w:pStyle w:val="ListBullet"/>
      </w:pPr>
      <w:r>
        <w:t>The term sheet came before depositions or preliminary-injunction briefing.</w:t>
      </w:r>
    </w:p>
    <w:p>
      <w:pPr>
        <w:pStyle w:val="ListBullet"/>
      </w:pPr>
      <w:r>
        <w:t>The Court called it an early-stage settlement and rejected counsel’s characterization that it settled on the eve of a preliminary-injunction hearing.</w:t>
      </w:r>
    </w:p>
    <w:p>
      <w:pPr>
        <w:pStyle w:val="ListBullet"/>
      </w:pPr>
      <w:r>
        <w:t>The parties sought rapid lifting of the status quo order before notice and final approval.</w:t>
      </w:r>
    </w:p>
    <w:p>
      <w:pPr>
        <w:pStyle w:val="ListBullet"/>
      </w:pPr>
      <w:r>
        <w:t>The Court initially rejected the settlement because of the release, and separately criticized a pattern of moving slowly while requesting expedited treatment.</w:t>
      </w:r>
    </w:p>
    <w:p>
      <w:r>
        <w:t>Those facts support scrutiny of origin, authority, negotiation, and economic alignment. They do not prove the answer.</w:t>
      </w:r>
    </w:p>
    <w:p>
      <w:pPr>
        <w:pStyle w:val="Heading1"/>
      </w:pPr>
      <w:r>
        <w:t>4. Settlement economics and functional outcome</w:t>
      </w:r>
    </w:p>
    <w:tbl>
      <w:tblPr>
        <w:tblStyle w:val="TableGrid"/>
        <w:tblW w:type="dxa" w:w="9360"/>
        <w:jc w:val="center"/>
        <w:tblLayout w:type="fixed"/>
        <w:tblLook w:firstColumn="1" w:firstRow="1" w:lastColumn="0" w:lastRow="0" w:noHBand="0" w:noVBand="1" w:val="04A0"/>
      </w:tblPr>
      <w:tblGrid>
        <w:gridCol w:w="3900"/>
        <w:gridCol w:w="5460"/>
      </w:tblGrid>
      <w:tr>
        <w:trPr>
          <w:trHeight w:hRule="atLeast"/>
          <w:tblHeader w:val="true"/>
        </w:trPr>
        <w:tc>
          <w:tcPr>
            <w:tcW w:type="dxa" w:w="3900"/>
            <w:shd w:fill="F2F4F7"/>
            <w:vAlign w:val="center"/>
            <w:tcMar>
              <w:top w:w="80" w:type="dxa"/>
              <w:start w:w="120" w:type="dxa"/>
              <w:bottom w:w="80" w:type="dxa"/>
              <w:end w:w="120" w:type="dxa"/>
            </w:tcMar>
          </w:tcPr>
          <w:p>
            <w:pPr>
              <w:spacing w:after="0"/>
            </w:pPr>
            <w:r>
              <w:rPr>
                <w:b/>
                <w:color w:val="17365D"/>
                <w:sz w:val="18"/>
              </w:rPr>
              <w:t>Measure</w:t>
            </w:r>
          </w:p>
        </w:tc>
        <w:tc>
          <w:tcPr>
            <w:tcW w:type="dxa" w:w="5460"/>
            <w:shd w:fill="F2F4F7"/>
            <w:vAlign w:val="center"/>
            <w:tcMar>
              <w:top w:w="80" w:type="dxa"/>
              <w:start w:w="120" w:type="dxa"/>
              <w:bottom w:w="80" w:type="dxa"/>
              <w:end w:w="120" w:type="dxa"/>
            </w:tcMar>
          </w:tcPr>
          <w:p>
            <w:pPr>
              <w:spacing w:after="0"/>
            </w:pPr>
            <w:r>
              <w:rPr>
                <w:b/>
                <w:color w:val="17365D"/>
                <w:sz w:val="18"/>
              </w:rPr>
              <w:t>Documented result</w:t>
            </w:r>
          </w:p>
        </w:tc>
      </w:tr>
      <w:tr>
        <w:trPr>
          <w:cantSplit/>
        </w:trPr>
        <w:tc>
          <w:tcPr>
            <w:tcW w:type="dxa" w:w="3900"/>
            <w:vAlign w:val="top"/>
            <w:tcMar>
              <w:top w:w="80" w:type="dxa"/>
              <w:start w:w="120" w:type="dxa"/>
              <w:bottom w:w="80" w:type="dxa"/>
              <w:end w:w="120" w:type="dxa"/>
            </w:tcMar>
          </w:tcPr>
          <w:p>
            <w:pPr>
              <w:spacing w:after="0"/>
            </w:pPr>
            <w:r>
              <w:rPr>
                <w:sz w:val="18"/>
              </w:rPr>
              <w:t>Settlement ratio</w:t>
            </w:r>
          </w:p>
        </w:tc>
        <w:tc>
          <w:tcPr>
            <w:tcW w:type="dxa" w:w="5460"/>
            <w:vAlign w:val="top"/>
            <w:tcMar>
              <w:top w:w="80" w:type="dxa"/>
              <w:start w:w="120" w:type="dxa"/>
              <w:bottom w:w="80" w:type="dxa"/>
              <w:end w:w="120" w:type="dxa"/>
            </w:tcMar>
          </w:tcPr>
          <w:p>
            <w:pPr>
              <w:spacing w:after="0"/>
            </w:pPr>
            <w:r>
              <w:rPr>
                <w:sz w:val="18"/>
              </w:rPr>
              <w:t>One AMC common share for every 7.5 post-split common shares held at the settlement class time</w:t>
            </w:r>
          </w:p>
        </w:tc>
      </w:tr>
      <w:tr>
        <w:trPr>
          <w:cantSplit/>
        </w:trPr>
        <w:tc>
          <w:tcPr>
            <w:tcW w:type="dxa" w:w="3900"/>
            <w:vAlign w:val="top"/>
            <w:tcMar>
              <w:top w:w="80" w:type="dxa"/>
              <w:start w:w="120" w:type="dxa"/>
              <w:bottom w:w="80" w:type="dxa"/>
              <w:end w:w="120" w:type="dxa"/>
            </w:tcMar>
          </w:tcPr>
          <w:p>
            <w:pPr>
              <w:spacing w:after="0"/>
            </w:pPr>
            <w:r>
              <w:rPr>
                <w:sz w:val="18"/>
              </w:rPr>
              <w:t>Actual settlement shares issued</w:t>
            </w:r>
          </w:p>
        </w:tc>
        <w:tc>
          <w:tcPr>
            <w:tcW w:type="dxa" w:w="5460"/>
            <w:vAlign w:val="top"/>
            <w:tcMar>
              <w:top w:w="80" w:type="dxa"/>
              <w:start w:w="120" w:type="dxa"/>
              <w:bottom w:w="80" w:type="dxa"/>
              <w:end w:w="120" w:type="dxa"/>
            </w:tcMar>
          </w:tcPr>
          <w:p>
            <w:pPr>
              <w:spacing w:after="0"/>
            </w:pPr>
            <w:r>
              <w:rPr>
                <w:sz w:val="18"/>
              </w:rPr>
              <w:t>6,897,018 on August 28, 2023</w:t>
            </w:r>
          </w:p>
        </w:tc>
      </w:tr>
      <w:tr>
        <w:trPr>
          <w:cantSplit/>
        </w:trPr>
        <w:tc>
          <w:tcPr>
            <w:tcW w:type="dxa" w:w="3900"/>
            <w:vAlign w:val="top"/>
            <w:tcMar>
              <w:top w:w="80" w:type="dxa"/>
              <w:start w:w="120" w:type="dxa"/>
              <w:bottom w:w="80" w:type="dxa"/>
              <w:end w:w="120" w:type="dxa"/>
            </w:tcMar>
          </w:tcPr>
          <w:p>
            <w:pPr>
              <w:spacing w:after="0"/>
            </w:pPr>
            <w:r>
              <w:rPr>
                <w:sz w:val="18"/>
              </w:rPr>
              <w:t>AMC’s final settlement-share value</w:t>
            </w:r>
          </w:p>
        </w:tc>
        <w:tc>
          <w:tcPr>
            <w:tcW w:type="dxa" w:w="5460"/>
            <w:vAlign w:val="top"/>
            <w:tcMar>
              <w:top w:w="80" w:type="dxa"/>
              <w:start w:w="120" w:type="dxa"/>
              <w:bottom w:w="80" w:type="dxa"/>
              <w:end w:w="120" w:type="dxa"/>
            </w:tcMar>
          </w:tcPr>
          <w:p>
            <w:pPr>
              <w:spacing w:after="0"/>
            </w:pPr>
            <w:r>
              <w:rPr>
                <w:sz w:val="18"/>
              </w:rPr>
              <w:t>$99.3 million</w:t>
            </w:r>
          </w:p>
        </w:tc>
      </w:tr>
      <w:tr>
        <w:trPr>
          <w:cantSplit/>
        </w:trPr>
        <w:tc>
          <w:tcPr>
            <w:tcW w:type="dxa" w:w="3900"/>
            <w:vAlign w:val="top"/>
            <w:tcMar>
              <w:top w:w="80" w:type="dxa"/>
              <w:start w:w="120" w:type="dxa"/>
              <w:bottom w:w="80" w:type="dxa"/>
              <w:end w:w="120" w:type="dxa"/>
            </w:tcMar>
          </w:tcPr>
          <w:p>
            <w:pPr>
              <w:spacing w:after="0"/>
            </w:pPr>
            <w:r>
              <w:rPr>
                <w:sz w:val="18"/>
              </w:rPr>
              <w:t>Legal-fee expense, net of probable insurance recoveries</w:t>
            </w:r>
          </w:p>
        </w:tc>
        <w:tc>
          <w:tcPr>
            <w:tcW w:type="dxa" w:w="5460"/>
            <w:vAlign w:val="top"/>
            <w:tcMar>
              <w:top w:w="80" w:type="dxa"/>
              <w:start w:w="120" w:type="dxa"/>
              <w:bottom w:w="80" w:type="dxa"/>
              <w:end w:w="120" w:type="dxa"/>
            </w:tcMar>
          </w:tcPr>
          <w:p>
            <w:pPr>
              <w:spacing w:after="0"/>
            </w:pPr>
            <w:r>
              <w:rPr>
                <w:sz w:val="18"/>
              </w:rPr>
              <w:t>$10.8 million in AMC’s 2023 accounting</w:t>
            </w:r>
          </w:p>
        </w:tc>
      </w:tr>
      <w:tr>
        <w:trPr>
          <w:cantSplit/>
        </w:trPr>
        <w:tc>
          <w:tcPr>
            <w:tcW w:type="dxa" w:w="3900"/>
            <w:vAlign w:val="top"/>
            <w:tcMar>
              <w:top w:w="80" w:type="dxa"/>
              <w:start w:w="120" w:type="dxa"/>
              <w:bottom w:w="80" w:type="dxa"/>
              <w:end w:w="120" w:type="dxa"/>
            </w:tcMar>
          </w:tcPr>
          <w:p>
            <w:pPr>
              <w:spacing w:after="0"/>
            </w:pPr>
            <w:r>
              <w:rPr>
                <w:sz w:val="18"/>
              </w:rPr>
              <w:t>APE conversion shares</w:t>
            </w:r>
          </w:p>
        </w:tc>
        <w:tc>
          <w:tcPr>
            <w:tcW w:type="dxa" w:w="5460"/>
            <w:vAlign w:val="top"/>
            <w:tcMar>
              <w:top w:w="80" w:type="dxa"/>
              <w:start w:w="120" w:type="dxa"/>
              <w:bottom w:w="80" w:type="dxa"/>
              <w:end w:w="120" w:type="dxa"/>
            </w:tcMar>
          </w:tcPr>
          <w:p>
            <w:pPr>
              <w:spacing w:after="0"/>
            </w:pPr>
            <w:r>
              <w:rPr>
                <w:sz w:val="18"/>
              </w:rPr>
              <w:t>99,540,642 common shares issued August 25, 2023</w:t>
            </w:r>
          </w:p>
        </w:tc>
      </w:tr>
      <w:tr>
        <w:trPr>
          <w:cantSplit/>
        </w:trPr>
        <w:tc>
          <w:tcPr>
            <w:tcW w:type="dxa" w:w="3900"/>
            <w:vAlign w:val="top"/>
            <w:tcMar>
              <w:top w:w="80" w:type="dxa"/>
              <w:start w:w="120" w:type="dxa"/>
              <w:bottom w:w="80" w:type="dxa"/>
              <w:end w:w="120" w:type="dxa"/>
            </w:tcMar>
          </w:tcPr>
          <w:p>
            <w:pPr>
              <w:spacing w:after="0"/>
            </w:pPr>
            <w:r>
              <w:rPr>
                <w:sz w:val="18"/>
              </w:rPr>
              <w:t>Court fee award</w:t>
            </w:r>
          </w:p>
        </w:tc>
        <w:tc>
          <w:tcPr>
            <w:tcW w:type="dxa" w:w="5460"/>
            <w:vAlign w:val="top"/>
            <w:tcMar>
              <w:top w:w="80" w:type="dxa"/>
              <w:start w:w="120" w:type="dxa"/>
              <w:bottom w:w="80" w:type="dxa"/>
              <w:end w:w="120" w:type="dxa"/>
            </w:tcMar>
          </w:tcPr>
          <w:p>
            <w:pPr>
              <w:spacing w:after="0"/>
            </w:pPr>
            <w:r>
              <w:rPr>
                <w:sz w:val="18"/>
              </w:rPr>
              <w:t>12% of the settlement consideration; final dollar amount tied to value when paid</w:t>
            </w:r>
          </w:p>
        </w:tc>
      </w:tr>
    </w:tbl>
    <w:p>
      <w:pPr>
        <w:spacing w:after="0"/>
      </w:pPr>
    </w:p>
    <w:p>
      <w:r>
        <w:t>The settlement’s practical effect was to compensate the common-stock class with additional shares while allowing the reverse split and APE conversion to proceed. That functional alignment does not prove the suit was prearranged. It does make the negotiation record, mediator submissions, redlines, and pre-filing communications central to testing the allegation.</w:t>
      </w:r>
    </w:p>
    <w:p>
      <w:pPr>
        <w:pStyle w:val="Heading1"/>
      </w:pPr>
      <w:r>
        <w:t>5. Plaintiff and counsel formation</w:t>
      </w:r>
    </w:p>
    <w:p>
      <w:r>
        <w:t>ACERS filed with Anthony Franchi and was represented in the approved settlement by Bernstein Litowitz Berger &amp; Grossmann, Grant &amp; Eisenhofer, and Saxena White. Public litigation records also show an established ACERS–Bernstein Litowitz relationship in the Energy Transfer matter before the AMC filing. ACERS separately filed a Palantir action in October 2022. Repeat representation is normal in institutional-plaintiff litigation; it nevertheless makes the referral, monitoring, solicitation, authorization, and fee-sharing records relevant.</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EDF3F8"/>
            <w:tcBorders>
              <w:left w:val="single" w:sz="24" w:color="2E74B5"/>
            </w:tcBorders>
          </w:tcPr>
          <w:p>
            <w:pPr>
              <w:spacing w:after="80"/>
            </w:pPr>
            <w:r>
              <w:rPr>
                <w:b/>
                <w:color w:val="2E74B5"/>
                <w:sz w:val="20"/>
              </w:rPr>
              <w:t>INVESTIGATIVE INFERENCE</w:t>
            </w:r>
          </w:p>
          <w:p>
            <w:pPr>
              <w:spacing w:after="0"/>
            </w:pPr>
            <w:r>
              <w:t>The timing, established institutional-plaintiff/counsel relationships, rapid early-stage term sheet, and immediate effort to lift the status quo order support investigating whether counsel identified and drove the litigation before ACERS independently evaluated it. They do not prove that counsel manufactured a claim or acted for Citadel or BNY Mellon.</w:t>
            </w:r>
          </w:p>
        </w:tc>
      </w:tr>
    </w:tbl>
    <w:p>
      <w:pPr>
        <w:spacing w:after="0"/>
      </w:pPr>
    </w:p>
    <w:p>
      <w:pPr>
        <w:pStyle w:val="Heading1"/>
      </w:pPr>
      <w:r>
        <w:t>6. ACERS’s AMC position and 2021 sales</w:t>
      </w:r>
    </w:p>
    <w:tbl>
      <w:tblPr>
        <w:tblStyle w:val="TableGrid"/>
        <w:tblW w:type="dxa" w:w="9360"/>
        <w:jc w:val="center"/>
        <w:tblLayout w:type="fixed"/>
        <w:tblLook w:firstColumn="1" w:firstRow="1" w:lastColumn="0" w:lastRow="0" w:noHBand="0" w:noVBand="1" w:val="04A0"/>
      </w:tblPr>
      <w:tblGrid>
        <w:gridCol w:w="2600"/>
        <w:gridCol w:w="1200"/>
        <w:gridCol w:w="1300"/>
        <w:gridCol w:w="1700"/>
        <w:gridCol w:w="2560"/>
      </w:tblGrid>
      <w:tr>
        <w:trPr>
          <w:trHeight w:hRule="atLeast"/>
          <w:tblHeader w:val="true"/>
        </w:trPr>
        <w:tc>
          <w:tcPr>
            <w:tcW w:type="dxa" w:w="2600"/>
            <w:shd w:fill="F2F4F7"/>
            <w:vAlign w:val="center"/>
            <w:tcMar>
              <w:top w:w="80" w:type="dxa"/>
              <w:start w:w="120" w:type="dxa"/>
              <w:bottom w:w="80" w:type="dxa"/>
              <w:end w:w="120" w:type="dxa"/>
            </w:tcMar>
          </w:tcPr>
          <w:p>
            <w:pPr>
              <w:spacing w:after="0"/>
            </w:pPr>
            <w:r>
              <w:rPr>
                <w:b/>
                <w:color w:val="17365D"/>
                <w:sz w:val="18"/>
              </w:rPr>
              <w:t>Trade/position</w:t>
            </w:r>
          </w:p>
        </w:tc>
        <w:tc>
          <w:tcPr>
            <w:tcW w:type="dxa" w:w="1200"/>
            <w:shd w:fill="F2F4F7"/>
            <w:vAlign w:val="center"/>
            <w:tcMar>
              <w:top w:w="80" w:type="dxa"/>
              <w:start w:w="120" w:type="dxa"/>
              <w:bottom w:w="80" w:type="dxa"/>
              <w:end w:w="120" w:type="dxa"/>
            </w:tcMar>
          </w:tcPr>
          <w:p>
            <w:pPr>
              <w:spacing w:after="0"/>
            </w:pPr>
            <w:r>
              <w:rPr>
                <w:b/>
                <w:color w:val="17365D"/>
                <w:sz w:val="18"/>
              </w:rPr>
              <w:t>Shares</w:t>
            </w:r>
          </w:p>
        </w:tc>
        <w:tc>
          <w:tcPr>
            <w:tcW w:type="dxa" w:w="1300"/>
            <w:shd w:fill="F2F4F7"/>
            <w:vAlign w:val="center"/>
            <w:tcMar>
              <w:top w:w="80" w:type="dxa"/>
              <w:start w:w="120" w:type="dxa"/>
              <w:bottom w:w="80" w:type="dxa"/>
              <w:end w:w="120" w:type="dxa"/>
            </w:tcMar>
          </w:tcPr>
          <w:p>
            <w:pPr>
              <w:spacing w:after="0"/>
            </w:pPr>
            <w:r>
              <w:rPr>
                <w:b/>
                <w:color w:val="17365D"/>
                <w:sz w:val="18"/>
              </w:rPr>
              <w:t>Price</w:t>
            </w:r>
          </w:p>
        </w:tc>
        <w:tc>
          <w:tcPr>
            <w:tcW w:type="dxa" w:w="1700"/>
            <w:shd w:fill="F2F4F7"/>
            <w:vAlign w:val="center"/>
            <w:tcMar>
              <w:top w:w="80" w:type="dxa"/>
              <w:start w:w="120" w:type="dxa"/>
              <w:bottom w:w="80" w:type="dxa"/>
              <w:end w:w="120" w:type="dxa"/>
            </w:tcMar>
          </w:tcPr>
          <w:p>
            <w:pPr>
              <w:spacing w:after="0"/>
            </w:pPr>
            <w:r>
              <w:rPr>
                <w:b/>
                <w:color w:val="17365D"/>
                <w:sz w:val="18"/>
              </w:rPr>
              <w:t>Settlement</w:t>
            </w:r>
          </w:p>
        </w:tc>
        <w:tc>
          <w:tcPr>
            <w:tcW w:type="dxa" w:w="2560"/>
            <w:shd w:fill="F2F4F7"/>
            <w:vAlign w:val="center"/>
            <w:tcMar>
              <w:top w:w="80" w:type="dxa"/>
              <w:start w:w="120" w:type="dxa"/>
              <w:bottom w:w="80" w:type="dxa"/>
              <w:end w:w="120" w:type="dxa"/>
            </w:tcMar>
          </w:tcPr>
          <w:p>
            <w:pPr>
              <w:spacing w:after="0"/>
            </w:pPr>
            <w:r>
              <w:rPr>
                <w:b/>
                <w:color w:val="17365D"/>
                <w:sz w:val="18"/>
              </w:rPr>
              <w:t>Result</w:t>
            </w:r>
          </w:p>
        </w:tc>
      </w:tr>
      <w:tr>
        <w:trPr>
          <w:cantSplit/>
        </w:trPr>
        <w:tc>
          <w:tcPr>
            <w:tcW w:type="dxa" w:w="2600"/>
            <w:vAlign w:val="top"/>
            <w:tcMar>
              <w:top w:w="80" w:type="dxa"/>
              <w:start w:w="120" w:type="dxa"/>
              <w:bottom w:w="80" w:type="dxa"/>
              <w:end w:w="120" w:type="dxa"/>
            </w:tcMar>
          </w:tcPr>
          <w:p>
            <w:pPr>
              <w:spacing w:after="0"/>
            </w:pPr>
            <w:r>
              <w:rPr>
                <w:sz w:val="18"/>
              </w:rPr>
              <w:t>Pre-sale ACERS AMC position</w:t>
            </w:r>
          </w:p>
        </w:tc>
        <w:tc>
          <w:tcPr>
            <w:tcW w:type="dxa" w:w="1200"/>
            <w:vAlign w:val="top"/>
            <w:tcMar>
              <w:top w:w="80" w:type="dxa"/>
              <w:start w:w="120" w:type="dxa"/>
              <w:bottom w:w="80" w:type="dxa"/>
              <w:end w:w="120" w:type="dxa"/>
            </w:tcMar>
          </w:tcPr>
          <w:p>
            <w:pPr>
              <w:spacing w:after="0"/>
            </w:pPr>
            <w:r>
              <w:rPr>
                <w:sz w:val="18"/>
              </w:rPr>
              <w:t>2,345</w:t>
            </w:r>
          </w:p>
        </w:tc>
        <w:tc>
          <w:tcPr>
            <w:tcW w:type="dxa" w:w="1300"/>
            <w:vAlign w:val="top"/>
            <w:tcMar>
              <w:top w:w="80" w:type="dxa"/>
              <w:start w:w="120" w:type="dxa"/>
              <w:bottom w:w="80" w:type="dxa"/>
              <w:end w:w="120" w:type="dxa"/>
            </w:tcMar>
          </w:tcPr>
          <w:p>
            <w:pPr>
              <w:spacing w:after="0"/>
            </w:pPr>
            <w:r>
              <w:rPr>
                <w:sz w:val="18"/>
              </w:rPr>
              <w:t>—</w:t>
            </w:r>
          </w:p>
        </w:tc>
        <w:tc>
          <w:tcPr>
            <w:tcW w:type="dxa" w:w="1700"/>
            <w:vAlign w:val="top"/>
            <w:tcMar>
              <w:top w:w="80" w:type="dxa"/>
              <w:start w:w="120" w:type="dxa"/>
              <w:bottom w:w="80" w:type="dxa"/>
              <w:end w:w="120" w:type="dxa"/>
            </w:tcMar>
          </w:tcPr>
          <w:p>
            <w:pPr>
              <w:spacing w:after="0"/>
            </w:pPr>
            <w:r>
              <w:rPr>
                <w:sz w:val="18"/>
              </w:rPr>
              <w:t>—</w:t>
            </w:r>
          </w:p>
        </w:tc>
        <w:tc>
          <w:tcPr>
            <w:tcW w:type="dxa" w:w="2560"/>
            <w:vAlign w:val="top"/>
            <w:tcMar>
              <w:top w:w="80" w:type="dxa"/>
              <w:start w:w="120" w:type="dxa"/>
              <w:bottom w:w="80" w:type="dxa"/>
              <w:end w:w="120" w:type="dxa"/>
            </w:tcMar>
          </w:tcPr>
          <w:p>
            <w:pPr>
              <w:spacing w:after="0"/>
            </w:pPr>
            <w:r>
              <w:rPr>
                <w:sz w:val="18"/>
              </w:rPr>
              <w:t>Starting position</w:t>
            </w:r>
          </w:p>
        </w:tc>
      </w:tr>
      <w:tr>
        <w:trPr>
          <w:cantSplit/>
        </w:trPr>
        <w:tc>
          <w:tcPr>
            <w:tcW w:type="dxa" w:w="2600"/>
            <w:vAlign w:val="top"/>
            <w:tcMar>
              <w:top w:w="80" w:type="dxa"/>
              <w:start w:w="120" w:type="dxa"/>
              <w:bottom w:w="80" w:type="dxa"/>
              <w:end w:w="120" w:type="dxa"/>
            </w:tcMar>
          </w:tcPr>
          <w:p>
            <w:pPr>
              <w:spacing w:after="0"/>
            </w:pPr>
            <w:r>
              <w:rPr>
                <w:sz w:val="18"/>
              </w:rPr>
              <w:t>May 27, 2021 sale</w:t>
            </w:r>
          </w:p>
        </w:tc>
        <w:tc>
          <w:tcPr>
            <w:tcW w:type="dxa" w:w="1200"/>
            <w:vAlign w:val="top"/>
            <w:tcMar>
              <w:top w:w="80" w:type="dxa"/>
              <w:start w:w="120" w:type="dxa"/>
              <w:bottom w:w="80" w:type="dxa"/>
              <w:end w:w="120" w:type="dxa"/>
            </w:tcMar>
          </w:tcPr>
          <w:p>
            <w:pPr>
              <w:spacing w:after="0"/>
            </w:pPr>
            <w:r>
              <w:rPr>
                <w:sz w:val="18"/>
              </w:rPr>
              <w:t>1,173</w:t>
            </w:r>
          </w:p>
        </w:tc>
        <w:tc>
          <w:tcPr>
            <w:tcW w:type="dxa" w:w="1300"/>
            <w:vAlign w:val="top"/>
            <w:tcMar>
              <w:top w:w="80" w:type="dxa"/>
              <w:start w:w="120" w:type="dxa"/>
              <w:bottom w:w="80" w:type="dxa"/>
              <w:end w:w="120" w:type="dxa"/>
            </w:tcMar>
          </w:tcPr>
          <w:p>
            <w:pPr>
              <w:spacing w:after="0"/>
            </w:pPr>
            <w:r>
              <w:rPr>
                <w:sz w:val="18"/>
              </w:rPr>
              <w:t>$21.77</w:t>
            </w:r>
          </w:p>
        </w:tc>
        <w:tc>
          <w:tcPr>
            <w:tcW w:type="dxa" w:w="1700"/>
            <w:vAlign w:val="top"/>
            <w:tcMar>
              <w:top w:w="80" w:type="dxa"/>
              <w:start w:w="120" w:type="dxa"/>
              <w:bottom w:w="80" w:type="dxa"/>
              <w:end w:w="120" w:type="dxa"/>
            </w:tcMar>
          </w:tcPr>
          <w:p>
            <w:pPr>
              <w:spacing w:after="0"/>
            </w:pPr>
            <w:r>
              <w:rPr>
                <w:sz w:val="18"/>
              </w:rPr>
              <w:t>June 1</w:t>
            </w:r>
          </w:p>
        </w:tc>
        <w:tc>
          <w:tcPr>
            <w:tcW w:type="dxa" w:w="2560"/>
            <w:vAlign w:val="top"/>
            <w:tcMar>
              <w:top w:w="80" w:type="dxa"/>
              <w:start w:w="120" w:type="dxa"/>
              <w:bottom w:w="80" w:type="dxa"/>
              <w:end w:w="120" w:type="dxa"/>
            </w:tcMar>
          </w:tcPr>
          <w:p>
            <w:pPr>
              <w:spacing w:after="0"/>
            </w:pPr>
            <w:r>
              <w:rPr>
                <w:sz w:val="18"/>
              </w:rPr>
              <w:t>$25,540 gross</w:t>
            </w:r>
          </w:p>
        </w:tc>
      </w:tr>
      <w:tr>
        <w:trPr>
          <w:cantSplit/>
        </w:trPr>
        <w:tc>
          <w:tcPr>
            <w:tcW w:type="dxa" w:w="2600"/>
            <w:vAlign w:val="top"/>
            <w:tcMar>
              <w:top w:w="80" w:type="dxa"/>
              <w:start w:w="120" w:type="dxa"/>
              <w:bottom w:w="80" w:type="dxa"/>
              <w:end w:w="120" w:type="dxa"/>
            </w:tcMar>
          </w:tcPr>
          <w:p>
            <w:pPr>
              <w:spacing w:after="0"/>
            </w:pPr>
            <w:r>
              <w:rPr>
                <w:sz w:val="18"/>
              </w:rPr>
              <w:t>June 2, 2021 sale</w:t>
            </w:r>
          </w:p>
        </w:tc>
        <w:tc>
          <w:tcPr>
            <w:tcW w:type="dxa" w:w="1200"/>
            <w:vAlign w:val="top"/>
            <w:tcMar>
              <w:top w:w="80" w:type="dxa"/>
              <w:start w:w="120" w:type="dxa"/>
              <w:bottom w:w="80" w:type="dxa"/>
              <w:end w:w="120" w:type="dxa"/>
            </w:tcMar>
          </w:tcPr>
          <w:p>
            <w:pPr>
              <w:spacing w:after="0"/>
            </w:pPr>
            <w:r>
              <w:rPr>
                <w:sz w:val="18"/>
              </w:rPr>
              <w:t>293</w:t>
            </w:r>
          </w:p>
        </w:tc>
        <w:tc>
          <w:tcPr>
            <w:tcW w:type="dxa" w:w="1300"/>
            <w:vAlign w:val="top"/>
            <w:tcMar>
              <w:top w:w="80" w:type="dxa"/>
              <w:start w:w="120" w:type="dxa"/>
              <w:bottom w:w="80" w:type="dxa"/>
              <w:end w:w="120" w:type="dxa"/>
            </w:tcMar>
          </w:tcPr>
          <w:p>
            <w:pPr>
              <w:spacing w:after="0"/>
            </w:pPr>
            <w:r>
              <w:rPr>
                <w:sz w:val="18"/>
              </w:rPr>
              <w:t>$40.98</w:t>
            </w:r>
          </w:p>
        </w:tc>
        <w:tc>
          <w:tcPr>
            <w:tcW w:type="dxa" w:w="1700"/>
            <w:vAlign w:val="top"/>
            <w:tcMar>
              <w:top w:w="80" w:type="dxa"/>
              <w:start w:w="120" w:type="dxa"/>
              <w:bottom w:w="80" w:type="dxa"/>
              <w:end w:w="120" w:type="dxa"/>
            </w:tcMar>
          </w:tcPr>
          <w:p>
            <w:pPr>
              <w:spacing w:after="0"/>
            </w:pPr>
            <w:r>
              <w:rPr>
                <w:sz w:val="18"/>
              </w:rPr>
              <w:t>June 4</w:t>
            </w:r>
          </w:p>
        </w:tc>
        <w:tc>
          <w:tcPr>
            <w:tcW w:type="dxa" w:w="2560"/>
            <w:vAlign w:val="top"/>
            <w:tcMar>
              <w:top w:w="80" w:type="dxa"/>
              <w:start w:w="120" w:type="dxa"/>
              <w:bottom w:w="80" w:type="dxa"/>
              <w:end w:w="120" w:type="dxa"/>
            </w:tcMar>
          </w:tcPr>
          <w:p>
            <w:pPr>
              <w:spacing w:after="0"/>
            </w:pPr>
            <w:r>
              <w:rPr>
                <w:sz w:val="18"/>
              </w:rPr>
              <w:t>$12,006 gross</w:t>
            </w:r>
          </w:p>
        </w:tc>
      </w:tr>
      <w:tr>
        <w:trPr>
          <w:cantSplit/>
        </w:trPr>
        <w:tc>
          <w:tcPr>
            <w:tcW w:type="dxa" w:w="2600"/>
            <w:vAlign w:val="top"/>
            <w:tcMar>
              <w:top w:w="80" w:type="dxa"/>
              <w:start w:w="120" w:type="dxa"/>
              <w:bottom w:w="80" w:type="dxa"/>
              <w:end w:w="120" w:type="dxa"/>
            </w:tcMar>
          </w:tcPr>
          <w:p>
            <w:pPr>
              <w:spacing w:after="0"/>
            </w:pPr>
            <w:r>
              <w:rPr>
                <w:sz w:val="18"/>
              </w:rPr>
              <w:t>Retained AMC</w:t>
            </w:r>
          </w:p>
        </w:tc>
        <w:tc>
          <w:tcPr>
            <w:tcW w:type="dxa" w:w="1200"/>
            <w:vAlign w:val="top"/>
            <w:tcMar>
              <w:top w:w="80" w:type="dxa"/>
              <w:start w:w="120" w:type="dxa"/>
              <w:bottom w:w="80" w:type="dxa"/>
              <w:end w:w="120" w:type="dxa"/>
            </w:tcMar>
          </w:tcPr>
          <w:p>
            <w:pPr>
              <w:spacing w:after="0"/>
            </w:pPr>
            <w:r>
              <w:rPr>
                <w:sz w:val="18"/>
              </w:rPr>
              <w:t>879</w:t>
            </w:r>
          </w:p>
        </w:tc>
        <w:tc>
          <w:tcPr>
            <w:tcW w:type="dxa" w:w="1300"/>
            <w:vAlign w:val="top"/>
            <w:tcMar>
              <w:top w:w="80" w:type="dxa"/>
              <w:start w:w="120" w:type="dxa"/>
              <w:bottom w:w="80" w:type="dxa"/>
              <w:end w:w="120" w:type="dxa"/>
            </w:tcMar>
          </w:tcPr>
          <w:p>
            <w:pPr>
              <w:spacing w:after="0"/>
            </w:pPr>
            <w:r>
              <w:rPr>
                <w:sz w:val="18"/>
              </w:rPr>
              <w:t>—</w:t>
            </w:r>
          </w:p>
        </w:tc>
        <w:tc>
          <w:tcPr>
            <w:tcW w:type="dxa" w:w="1700"/>
            <w:vAlign w:val="top"/>
            <w:tcMar>
              <w:top w:w="80" w:type="dxa"/>
              <w:start w:w="120" w:type="dxa"/>
              <w:bottom w:w="80" w:type="dxa"/>
              <w:end w:w="120" w:type="dxa"/>
            </w:tcMar>
          </w:tcPr>
          <w:p>
            <w:pPr>
              <w:spacing w:after="0"/>
            </w:pPr>
            <w:r>
              <w:rPr>
                <w:sz w:val="18"/>
              </w:rPr>
              <w:t>—</w:t>
            </w:r>
          </w:p>
        </w:tc>
        <w:tc>
          <w:tcPr>
            <w:tcW w:type="dxa" w:w="2560"/>
            <w:vAlign w:val="top"/>
            <w:tcMar>
              <w:top w:w="80" w:type="dxa"/>
              <w:start w:w="120" w:type="dxa"/>
              <w:bottom w:w="80" w:type="dxa"/>
              <w:end w:w="120" w:type="dxa"/>
            </w:tcMar>
          </w:tcPr>
          <w:p>
            <w:pPr>
              <w:spacing w:after="0"/>
            </w:pPr>
            <w:r>
              <w:rPr>
                <w:sz w:val="18"/>
              </w:rPr>
              <w:t>37.484% of starting position</w:t>
            </w:r>
          </w:p>
        </w:tc>
      </w:tr>
      <w:tr>
        <w:trPr>
          <w:cantSplit/>
        </w:trPr>
        <w:tc>
          <w:tcPr>
            <w:tcW w:type="dxa" w:w="2600"/>
            <w:vAlign w:val="top"/>
            <w:tcMar>
              <w:top w:w="80" w:type="dxa"/>
              <w:start w:w="120" w:type="dxa"/>
              <w:bottom w:w="80" w:type="dxa"/>
              <w:end w:w="120" w:type="dxa"/>
            </w:tcMar>
          </w:tcPr>
          <w:p>
            <w:pPr>
              <w:spacing w:after="0"/>
            </w:pPr>
            <w:r>
              <w:rPr>
                <w:sz w:val="18"/>
              </w:rPr>
              <w:t>APE received Aug. 22, 2022</w:t>
            </w:r>
          </w:p>
        </w:tc>
        <w:tc>
          <w:tcPr>
            <w:tcW w:type="dxa" w:w="1200"/>
            <w:vAlign w:val="top"/>
            <w:tcMar>
              <w:top w:w="80" w:type="dxa"/>
              <w:start w:w="120" w:type="dxa"/>
              <w:bottom w:w="80" w:type="dxa"/>
              <w:end w:w="120" w:type="dxa"/>
            </w:tcMar>
          </w:tcPr>
          <w:p>
            <w:pPr>
              <w:spacing w:after="0"/>
            </w:pPr>
            <w:r>
              <w:rPr>
                <w:sz w:val="18"/>
              </w:rPr>
              <w:t>879</w:t>
            </w:r>
          </w:p>
        </w:tc>
        <w:tc>
          <w:tcPr>
            <w:tcW w:type="dxa" w:w="1300"/>
            <w:vAlign w:val="top"/>
            <w:tcMar>
              <w:top w:w="80" w:type="dxa"/>
              <w:start w:w="120" w:type="dxa"/>
              <w:bottom w:w="80" w:type="dxa"/>
              <w:end w:w="120" w:type="dxa"/>
            </w:tcMar>
          </w:tcPr>
          <w:p>
            <w:pPr>
              <w:spacing w:after="0"/>
            </w:pPr>
            <w:r>
              <w:rPr>
                <w:sz w:val="18"/>
              </w:rPr>
              <w:t>—</w:t>
            </w:r>
          </w:p>
        </w:tc>
        <w:tc>
          <w:tcPr>
            <w:tcW w:type="dxa" w:w="1700"/>
            <w:vAlign w:val="top"/>
            <w:tcMar>
              <w:top w:w="80" w:type="dxa"/>
              <w:start w:w="120" w:type="dxa"/>
              <w:bottom w:w="80" w:type="dxa"/>
              <w:end w:w="120" w:type="dxa"/>
            </w:tcMar>
          </w:tcPr>
          <w:p>
            <w:pPr>
              <w:spacing w:after="0"/>
            </w:pPr>
            <w:r>
              <w:rPr>
                <w:sz w:val="18"/>
              </w:rPr>
              <w:t>Corporate action</w:t>
            </w:r>
          </w:p>
        </w:tc>
        <w:tc>
          <w:tcPr>
            <w:tcW w:type="dxa" w:w="2560"/>
            <w:vAlign w:val="top"/>
            <w:tcMar>
              <w:top w:w="80" w:type="dxa"/>
              <w:start w:w="120" w:type="dxa"/>
              <w:bottom w:w="80" w:type="dxa"/>
              <w:end w:w="120" w:type="dxa"/>
            </w:tcMar>
          </w:tcPr>
          <w:p>
            <w:pPr>
              <w:spacing w:after="0"/>
            </w:pPr>
            <w:r>
              <w:rPr>
                <w:sz w:val="18"/>
              </w:rPr>
              <w:t>Matches retained AMC quantity</w:t>
            </w:r>
          </w:p>
        </w:tc>
      </w:tr>
    </w:tbl>
    <w:p>
      <w:pPr>
        <w:spacing w:after="0"/>
      </w:pPr>
    </w:p>
    <w:p>
      <w:r>
        <w:t>ACERS sold 1,466 of 2,345 shares, or 62.51599%. The transaction amounts are small relative to AMC’s total market volume and cannot explain the June 2 event. Their significance is different: the trades create a time-fixed, account-specific route into CIM’s order records and BNY Mellon’s custody, settlement, and lending ledgers.</w:t>
      </w:r>
    </w:p>
    <w:p>
      <w:pPr>
        <w:pStyle w:val="Heading1"/>
      </w:pPr>
      <w:r>
        <w:t>7. The CIM pro-rata match</w:t>
      </w:r>
    </w:p>
    <w:tbl>
      <w:tblPr>
        <w:tblStyle w:val="TableGrid"/>
        <w:tblW w:type="dxa" w:w="9360"/>
        <w:jc w:val="center"/>
        <w:tblLayout w:type="fixed"/>
        <w:tblLook w:firstColumn="1" w:firstRow="1" w:lastColumn="0" w:lastRow="0" w:noHBand="0" w:noVBand="1" w:val="04A0"/>
      </w:tblPr>
      <w:tblGrid>
        <w:gridCol w:w="3600"/>
        <w:gridCol w:w="1800"/>
        <w:gridCol w:w="1800"/>
        <w:gridCol w:w="2160"/>
      </w:tblGrid>
      <w:tr>
        <w:trPr>
          <w:trHeight w:hRule="atLeast"/>
          <w:tblHeader w:val="true"/>
        </w:trPr>
        <w:tc>
          <w:tcPr>
            <w:tcW w:type="dxa" w:w="3600"/>
            <w:shd w:fill="F2F4F7"/>
            <w:vAlign w:val="center"/>
            <w:tcMar>
              <w:top w:w="80" w:type="dxa"/>
              <w:start w:w="120" w:type="dxa"/>
              <w:bottom w:w="80" w:type="dxa"/>
              <w:end w:w="120" w:type="dxa"/>
            </w:tcMar>
          </w:tcPr>
          <w:p>
            <w:pPr>
              <w:spacing w:after="0"/>
            </w:pPr>
            <w:r>
              <w:rPr>
                <w:b/>
                <w:color w:val="17365D"/>
                <w:sz w:val="18"/>
              </w:rPr>
              <w:t>Record</w:t>
            </w:r>
          </w:p>
        </w:tc>
        <w:tc>
          <w:tcPr>
            <w:tcW w:type="dxa" w:w="1800"/>
            <w:shd w:fill="F2F4F7"/>
            <w:vAlign w:val="center"/>
            <w:tcMar>
              <w:top w:w="80" w:type="dxa"/>
              <w:start w:w="120" w:type="dxa"/>
              <w:bottom w:w="80" w:type="dxa"/>
              <w:end w:w="120" w:type="dxa"/>
            </w:tcMar>
          </w:tcPr>
          <w:p>
            <w:pPr>
              <w:spacing w:after="0"/>
            </w:pPr>
            <w:r>
              <w:rPr>
                <w:b/>
                <w:color w:val="17365D"/>
                <w:sz w:val="18"/>
              </w:rPr>
              <w:t>Q1 / starting</w:t>
            </w:r>
          </w:p>
        </w:tc>
        <w:tc>
          <w:tcPr>
            <w:tcW w:type="dxa" w:w="1800"/>
            <w:shd w:fill="F2F4F7"/>
            <w:vAlign w:val="center"/>
            <w:tcMar>
              <w:top w:w="80" w:type="dxa"/>
              <w:start w:w="120" w:type="dxa"/>
              <w:bottom w:w="80" w:type="dxa"/>
              <w:end w:w="120" w:type="dxa"/>
            </w:tcMar>
          </w:tcPr>
          <w:p>
            <w:pPr>
              <w:spacing w:after="0"/>
            </w:pPr>
            <w:r>
              <w:rPr>
                <w:b/>
                <w:color w:val="17365D"/>
                <w:sz w:val="18"/>
              </w:rPr>
              <w:t>Q2 / ending</w:t>
            </w:r>
          </w:p>
        </w:tc>
        <w:tc>
          <w:tcPr>
            <w:tcW w:type="dxa" w:w="2160"/>
            <w:shd w:fill="F2F4F7"/>
            <w:vAlign w:val="center"/>
            <w:tcMar>
              <w:top w:w="80" w:type="dxa"/>
              <w:start w:w="120" w:type="dxa"/>
              <w:bottom w:w="80" w:type="dxa"/>
              <w:end w:w="120" w:type="dxa"/>
            </w:tcMar>
          </w:tcPr>
          <w:p>
            <w:pPr>
              <w:spacing w:after="0"/>
            </w:pPr>
            <w:r>
              <w:rPr>
                <w:b/>
                <w:color w:val="17365D"/>
                <w:sz w:val="18"/>
              </w:rPr>
              <w:t>Reduction</w:t>
            </w:r>
          </w:p>
        </w:tc>
      </w:tr>
      <w:tr>
        <w:trPr>
          <w:cantSplit/>
        </w:trPr>
        <w:tc>
          <w:tcPr>
            <w:tcW w:type="dxa" w:w="3600"/>
            <w:vAlign w:val="top"/>
            <w:tcMar>
              <w:top w:w="80" w:type="dxa"/>
              <w:start w:w="120" w:type="dxa"/>
              <w:bottom w:w="80" w:type="dxa"/>
              <w:end w:w="120" w:type="dxa"/>
            </w:tcMar>
          </w:tcPr>
          <w:p>
            <w:pPr>
              <w:spacing w:after="0"/>
            </w:pPr>
            <w:r>
              <w:rPr>
                <w:sz w:val="18"/>
              </w:rPr>
              <w:t>CIM Investment Management aggregate AMC 13F</w:t>
            </w:r>
          </w:p>
        </w:tc>
        <w:tc>
          <w:tcPr>
            <w:tcW w:type="dxa" w:w="1800"/>
            <w:vAlign w:val="top"/>
            <w:tcMar>
              <w:top w:w="80" w:type="dxa"/>
              <w:start w:w="120" w:type="dxa"/>
              <w:bottom w:w="80" w:type="dxa"/>
              <w:end w:w="120" w:type="dxa"/>
            </w:tcMar>
          </w:tcPr>
          <w:p>
            <w:pPr>
              <w:spacing w:after="0"/>
            </w:pPr>
            <w:r>
              <w:rPr>
                <w:sz w:val="18"/>
              </w:rPr>
              <w:t>20,642 shares</w:t>
            </w:r>
          </w:p>
        </w:tc>
        <w:tc>
          <w:tcPr>
            <w:tcW w:type="dxa" w:w="1800"/>
            <w:vAlign w:val="top"/>
            <w:tcMar>
              <w:top w:w="80" w:type="dxa"/>
              <w:start w:w="120" w:type="dxa"/>
              <w:bottom w:w="80" w:type="dxa"/>
              <w:end w:w="120" w:type="dxa"/>
            </w:tcMar>
          </w:tcPr>
          <w:p>
            <w:pPr>
              <w:spacing w:after="0"/>
            </w:pPr>
            <w:r>
              <w:rPr>
                <w:sz w:val="18"/>
              </w:rPr>
              <w:t>7,736 shares</w:t>
            </w:r>
          </w:p>
        </w:tc>
        <w:tc>
          <w:tcPr>
            <w:tcW w:type="dxa" w:w="2160"/>
            <w:vAlign w:val="top"/>
            <w:tcMar>
              <w:top w:w="80" w:type="dxa"/>
              <w:start w:w="120" w:type="dxa"/>
              <w:bottom w:w="80" w:type="dxa"/>
              <w:end w:w="120" w:type="dxa"/>
            </w:tcMar>
          </w:tcPr>
          <w:p>
            <w:pPr>
              <w:spacing w:after="0"/>
            </w:pPr>
            <w:r>
              <w:rPr>
                <w:sz w:val="18"/>
              </w:rPr>
              <w:t>12,906 shares / 62.52301%</w:t>
            </w:r>
          </w:p>
        </w:tc>
      </w:tr>
      <w:tr>
        <w:trPr>
          <w:cantSplit/>
        </w:trPr>
        <w:tc>
          <w:tcPr>
            <w:tcW w:type="dxa" w:w="3600"/>
            <w:vAlign w:val="top"/>
            <w:tcMar>
              <w:top w:w="80" w:type="dxa"/>
              <w:start w:w="120" w:type="dxa"/>
              <w:bottom w:w="80" w:type="dxa"/>
              <w:end w:w="120" w:type="dxa"/>
            </w:tcMar>
          </w:tcPr>
          <w:p>
            <w:pPr>
              <w:spacing w:after="0"/>
            </w:pPr>
            <w:r>
              <w:rPr>
                <w:sz w:val="18"/>
              </w:rPr>
              <w:t>ACERS court-filed AMC history</w:t>
            </w:r>
          </w:p>
        </w:tc>
        <w:tc>
          <w:tcPr>
            <w:tcW w:type="dxa" w:w="1800"/>
            <w:vAlign w:val="top"/>
            <w:tcMar>
              <w:top w:w="80" w:type="dxa"/>
              <w:start w:w="120" w:type="dxa"/>
              <w:bottom w:w="80" w:type="dxa"/>
              <w:end w:w="120" w:type="dxa"/>
            </w:tcMar>
          </w:tcPr>
          <w:p>
            <w:pPr>
              <w:spacing w:after="0"/>
            </w:pPr>
            <w:r>
              <w:rPr>
                <w:sz w:val="18"/>
              </w:rPr>
              <w:t>2,345 shares</w:t>
            </w:r>
          </w:p>
        </w:tc>
        <w:tc>
          <w:tcPr>
            <w:tcW w:type="dxa" w:w="1800"/>
            <w:vAlign w:val="top"/>
            <w:tcMar>
              <w:top w:w="80" w:type="dxa"/>
              <w:start w:w="120" w:type="dxa"/>
              <w:bottom w:w="80" w:type="dxa"/>
              <w:end w:w="120" w:type="dxa"/>
            </w:tcMar>
          </w:tcPr>
          <w:p>
            <w:pPr>
              <w:spacing w:after="0"/>
            </w:pPr>
            <w:r>
              <w:rPr>
                <w:sz w:val="18"/>
              </w:rPr>
              <w:t>879 shares</w:t>
            </w:r>
          </w:p>
        </w:tc>
        <w:tc>
          <w:tcPr>
            <w:tcW w:type="dxa" w:w="2160"/>
            <w:vAlign w:val="top"/>
            <w:tcMar>
              <w:top w:w="80" w:type="dxa"/>
              <w:start w:w="120" w:type="dxa"/>
              <w:bottom w:w="80" w:type="dxa"/>
              <w:end w:w="120" w:type="dxa"/>
            </w:tcMar>
          </w:tcPr>
          <w:p>
            <w:pPr>
              <w:spacing w:after="0"/>
            </w:pPr>
            <w:r>
              <w:rPr>
                <w:sz w:val="18"/>
              </w:rPr>
              <w:t>1,466 shares / 62.51599%</w:t>
            </w:r>
          </w:p>
        </w:tc>
      </w:tr>
    </w:tbl>
    <w:p>
      <w:pPr>
        <w:spacing w:after="0"/>
      </w:pPr>
    </w:p>
    <w:p>
      <w:r>
        <w:t>The reduction rates differ by approximately 0.00702 percentage points. ACERS represented approximately 11.36033% of CIM’s aggregate AMC position in Q1 and 11.36246% in Q2, a difference of about 0.2128 basis points. The near-identity strongly supports the inference that ACERS received a pro-rata allocation from a broader CIM model or parent order.</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FF4CC"/>
            <w:tcBorders>
              <w:left w:val="single" w:sz="24" w:color="B8860B"/>
            </w:tcBorders>
          </w:tcPr>
          <w:p>
            <w:pPr>
              <w:spacing w:after="80"/>
            </w:pPr>
            <w:r>
              <w:rPr>
                <w:b/>
                <w:color w:val="B8860B"/>
                <w:sz w:val="20"/>
              </w:rPr>
              <w:t>WHY THE RULE 204-2 RECORD MATTERS</w:t>
            </w:r>
          </w:p>
          <w:p>
            <w:pPr>
              <w:spacing w:after="0"/>
            </w:pPr>
            <w:r>
              <w:t>17 C.F.R. § 275.204-2 requires an investment adviser to retain a memorandum of each securities order identifying the order terms, recommending and placing persons, account, date, and bank/broker/dealer through whom executed, with discretionary orders designated. The same rule requires client purchase/sale records and generally five-year preservation from the fiscal-year end of the last entry. For a calendar-year adviser, the minimum 2021 retention horizon may reach December 31, 2026. Immediate preservation is time-sensitive.</w:t>
            </w:r>
          </w:p>
        </w:tc>
      </w:tr>
    </w:tbl>
    <w:p>
      <w:pPr>
        <w:spacing w:after="0"/>
      </w:pPr>
    </w:p>
    <w:p>
      <w:pPr>
        <w:pStyle w:val="Heading1"/>
      </w:pPr>
      <w:r>
        <w:t>8. BNY Mellon: custody, transaction detail, and lending</w:t>
      </w:r>
    </w:p>
    <w:p>
      <w:r>
        <w:t>Court-filed ACERS exhibits identify BNY Mellon in the account/custody chain. A comparable BNY transaction-detail exhibit includes a broker field, showing that BNY’s records can identify the executing broker even where the public AMC trade exhibit does not display it. ACERS records also document a longstanding BNY securities-lending arrangement and 2021 securities-lending income. That income proves a lending program existed; it does not prove AMC was loaned.</w:t>
      </w:r>
    </w:p>
    <w:p>
      <w:r>
        <w:t>SEC-filed BNY Mellon securities-lending forms list Citadel Securities as an approved borrower in a 2010 schedule and list Citadel Securities and Citadel Clearing in a July 1, 2022 schedule. Those are different lender agreements and different dates. They establish that a BNY-to-Citadel lending pathway existed in BNY’s program, not that ACERS’s 2021 schedule included Citadel or that Citadel borrowed ACERS’s AMC shares.</w:t>
      </w:r>
    </w:p>
    <w:tbl>
      <w:tblPr>
        <w:tblStyle w:val="TableGrid"/>
        <w:tblW w:type="dxa" w:w="9360"/>
        <w:jc w:val="center"/>
        <w:tblLayout w:type="fixed"/>
        <w:tblLook w:firstColumn="1" w:firstRow="1" w:lastColumn="0" w:lastRow="0" w:noHBand="0" w:noVBand="1" w:val="04A0"/>
      </w:tblPr>
      <w:tblGrid>
        <w:gridCol w:w="4100"/>
        <w:gridCol w:w="5260"/>
      </w:tblGrid>
      <w:tr>
        <w:trPr>
          <w:trHeight w:hRule="atLeast"/>
          <w:tblHeader w:val="true"/>
        </w:trPr>
        <w:tc>
          <w:tcPr>
            <w:tcW w:type="dxa" w:w="4100"/>
            <w:shd w:fill="F2F4F7"/>
            <w:vAlign w:val="center"/>
            <w:tcMar>
              <w:top w:w="80" w:type="dxa"/>
              <w:start w:w="120" w:type="dxa"/>
              <w:bottom w:w="80" w:type="dxa"/>
              <w:end w:w="120" w:type="dxa"/>
            </w:tcMar>
          </w:tcPr>
          <w:p>
            <w:pPr>
              <w:spacing w:after="0"/>
            </w:pPr>
            <w:r>
              <w:rPr>
                <w:b/>
                <w:color w:val="17365D"/>
                <w:sz w:val="18"/>
              </w:rPr>
              <w:t>BNY record demanded</w:t>
            </w:r>
          </w:p>
        </w:tc>
        <w:tc>
          <w:tcPr>
            <w:tcW w:type="dxa" w:w="5260"/>
            <w:shd w:fill="F2F4F7"/>
            <w:vAlign w:val="center"/>
            <w:tcMar>
              <w:top w:w="80" w:type="dxa"/>
              <w:start w:w="120" w:type="dxa"/>
              <w:bottom w:w="80" w:type="dxa"/>
              <w:end w:w="120" w:type="dxa"/>
            </w:tcMar>
          </w:tcPr>
          <w:p>
            <w:pPr>
              <w:spacing w:after="0"/>
            </w:pPr>
            <w:r>
              <w:rPr>
                <w:b/>
                <w:color w:val="17365D"/>
                <w:sz w:val="18"/>
              </w:rPr>
              <w:t>Question answered</w:t>
            </w:r>
          </w:p>
        </w:tc>
      </w:tr>
      <w:tr>
        <w:trPr>
          <w:cantSplit/>
        </w:trPr>
        <w:tc>
          <w:tcPr>
            <w:tcW w:type="dxa" w:w="4100"/>
            <w:vAlign w:val="top"/>
            <w:tcMar>
              <w:top w:w="80" w:type="dxa"/>
              <w:start w:w="120" w:type="dxa"/>
              <w:bottom w:w="80" w:type="dxa"/>
              <w:end w:w="120" w:type="dxa"/>
            </w:tcMar>
          </w:tcPr>
          <w:p>
            <w:pPr>
              <w:spacing w:after="0"/>
            </w:pPr>
            <w:r>
              <w:rPr>
                <w:sz w:val="18"/>
              </w:rPr>
              <w:t>ACERS AMC daily positions and transaction detail, May 1–June 11, 2021</w:t>
            </w:r>
          </w:p>
        </w:tc>
        <w:tc>
          <w:tcPr>
            <w:tcW w:type="dxa" w:w="5260"/>
            <w:vAlign w:val="top"/>
            <w:tcMar>
              <w:top w:w="80" w:type="dxa"/>
              <w:start w:w="120" w:type="dxa"/>
              <w:bottom w:w="80" w:type="dxa"/>
              <w:end w:w="120" w:type="dxa"/>
            </w:tcMar>
          </w:tcPr>
          <w:p>
            <w:pPr>
              <w:spacing w:after="0"/>
            </w:pPr>
            <w:r>
              <w:rPr>
                <w:sz w:val="18"/>
              </w:rPr>
              <w:t>Who executed the May 27 and June 2 sales; exact time, broker, commission, settlement, account and identifiers</w:t>
            </w:r>
          </w:p>
        </w:tc>
      </w:tr>
      <w:tr>
        <w:trPr>
          <w:cantSplit/>
        </w:trPr>
        <w:tc>
          <w:tcPr>
            <w:tcW w:type="dxa" w:w="4100"/>
            <w:vAlign w:val="top"/>
            <w:tcMar>
              <w:top w:w="80" w:type="dxa"/>
              <w:start w:w="120" w:type="dxa"/>
              <w:bottom w:w="80" w:type="dxa"/>
              <w:end w:w="120" w:type="dxa"/>
            </w:tcMar>
          </w:tcPr>
          <w:p>
            <w:pPr>
              <w:spacing w:after="0"/>
            </w:pPr>
            <w:r>
              <w:rPr>
                <w:sz w:val="18"/>
              </w:rPr>
              <w:t>ACERS AMC securities-lending ledger</w:t>
            </w:r>
          </w:p>
        </w:tc>
        <w:tc>
          <w:tcPr>
            <w:tcW w:type="dxa" w:w="5260"/>
            <w:vAlign w:val="top"/>
            <w:tcMar>
              <w:top w:w="80" w:type="dxa"/>
              <w:start w:w="120" w:type="dxa"/>
              <w:bottom w:w="80" w:type="dxa"/>
              <w:end w:w="120" w:type="dxa"/>
            </w:tcMar>
          </w:tcPr>
          <w:p>
            <w:pPr>
              <w:spacing w:after="0"/>
            </w:pPr>
            <w:r>
              <w:rPr>
                <w:sz w:val="18"/>
              </w:rPr>
              <w:t>Whether shares were lent; borrower legal name; open/close; recall/return; collateral; fee; delivery/fail</w:t>
            </w:r>
          </w:p>
        </w:tc>
      </w:tr>
      <w:tr>
        <w:trPr>
          <w:cantSplit/>
        </w:trPr>
        <w:tc>
          <w:tcPr>
            <w:tcW w:type="dxa" w:w="4100"/>
            <w:vAlign w:val="top"/>
            <w:tcMar>
              <w:top w:w="80" w:type="dxa"/>
              <w:start w:w="120" w:type="dxa"/>
              <w:bottom w:w="80" w:type="dxa"/>
              <w:end w:w="120" w:type="dxa"/>
            </w:tcMar>
          </w:tcPr>
          <w:p>
            <w:pPr>
              <w:spacing w:after="0"/>
            </w:pPr>
            <w:r>
              <w:rPr>
                <w:sz w:val="18"/>
              </w:rPr>
              <w:t>Exact ACERS Securities Lending Authorization Agreement and Schedule II in force</w:t>
            </w:r>
          </w:p>
        </w:tc>
        <w:tc>
          <w:tcPr>
            <w:tcW w:type="dxa" w:w="5260"/>
            <w:vAlign w:val="top"/>
            <w:tcMar>
              <w:top w:w="80" w:type="dxa"/>
              <w:start w:w="120" w:type="dxa"/>
              <w:bottom w:w="80" w:type="dxa"/>
              <w:end w:w="120" w:type="dxa"/>
            </w:tcMar>
          </w:tcPr>
          <w:p>
            <w:pPr>
              <w:spacing w:after="0"/>
            </w:pPr>
            <w:r>
              <w:rPr>
                <w:sz w:val="18"/>
              </w:rPr>
              <w:t>Whether Citadel Securities or Citadel Clearing was an eligible borrower for this lender in May–June 2021</w:t>
            </w:r>
          </w:p>
        </w:tc>
      </w:tr>
      <w:tr>
        <w:trPr>
          <w:cantSplit/>
        </w:trPr>
        <w:tc>
          <w:tcPr>
            <w:tcW w:type="dxa" w:w="4100"/>
            <w:vAlign w:val="top"/>
            <w:tcMar>
              <w:top w:w="80" w:type="dxa"/>
              <w:start w:w="120" w:type="dxa"/>
              <w:bottom w:w="80" w:type="dxa"/>
              <w:end w:w="120" w:type="dxa"/>
            </w:tcMar>
          </w:tcPr>
          <w:p>
            <w:pPr>
              <w:spacing w:after="0"/>
            </w:pPr>
            <w:r>
              <w:rPr>
                <w:sz w:val="18"/>
              </w:rPr>
              <w:t>Proxy and corporate-action subledger</w:t>
            </w:r>
          </w:p>
        </w:tc>
        <w:tc>
          <w:tcPr>
            <w:tcW w:type="dxa" w:w="5260"/>
            <w:vAlign w:val="top"/>
            <w:tcMar>
              <w:top w:w="80" w:type="dxa"/>
              <w:start w:w="120" w:type="dxa"/>
              <w:bottom w:w="80" w:type="dxa"/>
              <w:end w:w="120" w:type="dxa"/>
            </w:tcMar>
          </w:tcPr>
          <w:p>
            <w:pPr>
              <w:spacing w:after="0"/>
            </w:pPr>
            <w:r>
              <w:rPr>
                <w:sz w:val="18"/>
              </w:rPr>
              <w:t>How AMC votes, APE entitlements, settlement shares, and conversion shares were posted and reconciled</w:t>
            </w:r>
          </w:p>
        </w:tc>
      </w:tr>
    </w:tbl>
    <w:p>
      <w:pPr>
        <w:spacing w:after="0"/>
      </w:pPr>
    </w:p>
    <w:p>
      <w:pPr>
        <w:pStyle w:val="Heading1"/>
      </w:pPr>
      <w:r>
        <w:t>9. Citadel: the exact court/APE attribution test</w:t>
      </w:r>
    </w:p>
    <w:p>
      <w:r>
        <w:t>No public court record identified in this investigation names Citadel as a litigant, counsel, mediator, settlement funder, directing party, or communicator in the AMC stockholder case. Citadel can still be tested through two distinct chains.</w:t>
      </w:r>
    </w:p>
    <w:p>
      <w:pPr>
        <w:pStyle w:val="ListNumber"/>
      </w:pPr>
      <w:r>
        <w:t>Financial chain: CIM order memorandum → BNY transaction detail → executing broker; and BNY AMC loan ledger → borrower → recall/return → settlement and related market activity. A Citadel name in these fields would create a direct transaction or loan connection to the lead plaintiff’s account.</w:t>
      </w:r>
    </w:p>
    <w:p>
      <w:pPr>
        <w:pStyle w:val="ListNumber"/>
      </w:pPr>
      <w:r>
        <w:t>Litigation chain: ACERS/counsel referral and engagement → board or delegated authorization → pre-filing communications → mediation and term-sheet redlines → any communications, payments, data sharing, indemnity, or coordination involving Citadel or BNY Mellon.</w:t>
      </w:r>
    </w:p>
    <w:p>
      <w:r>
        <w:t>A Citadel transaction or stock-loan link would not by itself prove Citadel caused the 2023 lawsuit. The orchestration allegation requires the separate communication, instruction, payment, referral, or shared-benefit record.</w:t>
      </w:r>
    </w:p>
    <w:p>
      <w:pPr>
        <w:pStyle w:val="Heading1"/>
      </w:pPr>
      <w:r>
        <w:t>10. The Citadel–BNY Mellon accusation: strongest form the evidence can bear</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BE9E7"/>
            <w:tcBorders>
              <w:left w:val="single" w:sz="24" w:color="A61B1B"/>
            </w:tcBorders>
          </w:tcPr>
          <w:p>
            <w:pPr>
              <w:spacing w:after="80"/>
            </w:pPr>
            <w:r>
              <w:rPr>
                <w:b/>
                <w:color w:val="A61B1B"/>
                <w:sz w:val="20"/>
              </w:rPr>
              <w:t>PUBLICATION FORMULATION</w:t>
            </w:r>
          </w:p>
          <w:p>
            <w:pPr>
              <w:spacing w:after="0"/>
            </w:pPr>
            <w:r>
              <w:t>The AMC litigation moved from filing to a binding term sheet in about 41 days and settled before depositions or preliminary-injunction briefing. The lead plaintiff’s earlier AMC sales almost perfectly tracked its investment manager’s broader pro-rata reduction. BNY Mellon held the custody, transaction, lending, proxy, and corporate-action records capable of identifying the executing broker, any AMC borrower, and the account’s real economic posture. Citadel entities were approved borrowers in other BNY lending schedules and Citadel held major AMC market roles. We therefore accuse Citadel and BNY Mellon of being undisclosed participants or beneficiaries whose exact roles must be tested through the trade, loan, communications, and settlement records. The public record does not yet prove that either entity originated, directed, financed, or controlled the lawsuit.</w:t>
            </w:r>
          </w:p>
        </w:tc>
      </w:tr>
    </w:tbl>
    <w:p>
      <w:pPr>
        <w:spacing w:after="0"/>
      </w:pPr>
    </w:p>
    <w:p>
      <w:r>
        <w:t>This formulation preserves the accusation while defining its proof burden. It also prevents the court’s approval from being misrepresented: the settlement was judicially approved, but that approval did not adjudicate the undisclosed Citadel/BNY record questions because those entities and records were not the issue before the Court.</w:t>
      </w:r>
    </w:p>
    <w:p>
      <w:pPr>
        <w:pStyle w:val="Heading1"/>
      </w:pPr>
      <w:r>
        <w:t>11. Exact controlled-record investigation</w:t>
      </w:r>
    </w:p>
    <w:p>
      <w:pPr>
        <w:pStyle w:val="Heading2"/>
      </w:pPr>
      <w:r>
        <w:t>11.1 Plaintiff origin and authority</w:t>
      </w:r>
    </w:p>
    <w:p>
      <w:pPr>
        <w:pStyle w:val="ListNumber"/>
      </w:pPr>
      <w:r>
        <w:t>ACERS engagement, retention, monitoring, solicitation, referral, and conflict-waiver records for Bernstein Litowitz, Grant &amp; Eisenhofer, Saxena White, and any predecessor or referring counsel concerning AMC or APE.</w:t>
      </w:r>
    </w:p>
    <w:p>
      <w:pPr>
        <w:pStyle w:val="ListNumber"/>
      </w:pPr>
      <w:r>
        <w:t>ACERS board, administrator, investment staff, counsel, or delegate authorizations; minutes; written consents; memoranda; and communications approving the suit, settlement, appeal posture, and incentive request.</w:t>
      </w:r>
    </w:p>
    <w:p>
      <w:pPr>
        <w:pStyle w:val="ListNumber"/>
      </w:pPr>
      <w:r>
        <w:t>All pre-filing emails, texts, attachments, call logs, drafts, and metadata between ACERS, counsel, CIM, BNY Mellon, AMC, defendants’ counsel, Citadel entities, brokers, insurers, and funders from August 1, 2022 through February 20, 2023.</w:t>
      </w:r>
    </w:p>
    <w:p>
      <w:pPr>
        <w:pStyle w:val="Heading2"/>
      </w:pPr>
      <w:r>
        <w:t>11.2 Negotiation and settlement</w:t>
      </w:r>
    </w:p>
    <w:p>
      <w:pPr>
        <w:pStyle w:val="ListNumber"/>
      </w:pPr>
      <w:r>
        <w:t>Mediation submissions, mediator communications to the extent legally obtainable, term-sheet drafts, redlines, metadata, valuation work, conversion analyses, release drafts, and the full timeline of offers/counteroffers from March 1 through April 3, 2023.</w:t>
      </w:r>
    </w:p>
    <w:p>
      <w:pPr>
        <w:pStyle w:val="ListNumber"/>
      </w:pPr>
      <w:r>
        <w:t>Communications and drafts concerning the April 3 unopposed motion to lift the status quo order, including who proposed the request and why implementation before notice and approval was sought.</w:t>
      </w:r>
    </w:p>
    <w:p>
      <w:pPr>
        <w:pStyle w:val="ListNumber"/>
      </w:pPr>
      <w:r>
        <w:t>Counsel fee-sharing, co-counsel, litigation-finance, indemnity, insurance, referral, and expense agreements; plus AMC D&amp;O insurer consent, valuation, and settlement files.</w:t>
      </w:r>
    </w:p>
    <w:p>
      <w:pPr>
        <w:pStyle w:val="Heading2"/>
      </w:pPr>
      <w:r>
        <w:t>11.3 Financial, custody, loan, and APE ledger</w:t>
      </w:r>
    </w:p>
    <w:p>
      <w:pPr>
        <w:pStyle w:val="ListNumber"/>
      </w:pPr>
      <w:r>
        <w:t>CIM’s Rule 204-2 order memoranda, parent/block orders, trade blotters, allocation files, confirmations, and communications for AMC CUSIP 00165C104 from May 24 through June 4, 2021, including placing and recommending persons and executing broker.</w:t>
      </w:r>
    </w:p>
    <w:p>
      <w:pPr>
        <w:pStyle w:val="ListNumber"/>
      </w:pPr>
      <w:r>
        <w:t>BNY Mellon’s ACERS AMC transaction and securities-lending records described in Section 8, preserved immediately.</w:t>
      </w:r>
    </w:p>
    <w:p>
      <w:pPr>
        <w:pStyle w:val="ListNumber"/>
      </w:pPr>
      <w:r>
        <w:t>ACERS/CIM/BNY beneficial positions, loans, recalls, votes, APE receipts, settlement shares, and conversion postings from August 2022 through August 2023, reconciled to DTC/NSCC/OCC participant records.</w:t>
      </w:r>
    </w:p>
    <w:p>
      <w:pPr>
        <w:pStyle w:val="ListNumber"/>
      </w:pPr>
      <w:r>
        <w:t>Citadel Securities and Citadel Clearing records matching any broker, borrower, account, delivery, option hedge, or settlement identifiers returned by CIM/BNY; plus any AMC/APE communications with ACERS, counsel, CIM, BNY, AMC, Antara, or the sales agent.</w:t>
      </w:r>
    </w:p>
    <w:p>
      <w:pPr>
        <w:pStyle w:val="Heading1"/>
      </w:pPr>
      <w:r>
        <w:t>12. Falsifiers and decision rules</w:t>
      </w:r>
    </w:p>
    <w:tbl>
      <w:tblPr>
        <w:tblStyle w:val="TableGrid"/>
        <w:tblW w:type="dxa" w:w="9360"/>
        <w:jc w:val="center"/>
        <w:tblLayout w:type="fixed"/>
        <w:tblLook w:firstColumn="1" w:firstRow="1" w:lastColumn="0" w:lastRow="0" w:noHBand="0" w:noVBand="1" w:val="04A0"/>
      </w:tblPr>
      <w:tblGrid>
        <w:gridCol w:w="4900"/>
        <w:gridCol w:w="4460"/>
      </w:tblGrid>
      <w:tr>
        <w:trPr>
          <w:trHeight w:hRule="atLeast"/>
          <w:tblHeader w:val="true"/>
        </w:trPr>
        <w:tc>
          <w:tcPr>
            <w:tcW w:type="dxa" w:w="4900"/>
            <w:shd w:fill="F2F4F7"/>
            <w:vAlign w:val="center"/>
            <w:tcMar>
              <w:top w:w="80" w:type="dxa"/>
              <w:start w:w="120" w:type="dxa"/>
              <w:bottom w:w="80" w:type="dxa"/>
              <w:end w:w="120" w:type="dxa"/>
            </w:tcMar>
          </w:tcPr>
          <w:p>
            <w:pPr>
              <w:spacing w:after="0"/>
            </w:pPr>
            <w:r>
              <w:rPr>
                <w:b/>
                <w:color w:val="17365D"/>
                <w:sz w:val="18"/>
              </w:rPr>
              <w:t>Record result</w:t>
            </w:r>
          </w:p>
        </w:tc>
        <w:tc>
          <w:tcPr>
            <w:tcW w:type="dxa" w:w="4460"/>
            <w:shd w:fill="F2F4F7"/>
            <w:vAlign w:val="center"/>
            <w:tcMar>
              <w:top w:w="80" w:type="dxa"/>
              <w:start w:w="120" w:type="dxa"/>
              <w:bottom w:w="80" w:type="dxa"/>
              <w:end w:w="120" w:type="dxa"/>
            </w:tcMar>
          </w:tcPr>
          <w:p>
            <w:pPr>
              <w:spacing w:after="0"/>
            </w:pPr>
            <w:r>
              <w:rPr>
                <w:b/>
                <w:color w:val="17365D"/>
                <w:sz w:val="18"/>
              </w:rPr>
              <w:t>Effect on allegation</w:t>
            </w:r>
          </w:p>
        </w:tc>
      </w:tr>
      <w:tr>
        <w:trPr>
          <w:cantSplit/>
        </w:trPr>
        <w:tc>
          <w:tcPr>
            <w:tcW w:type="dxa" w:w="4900"/>
            <w:vAlign w:val="top"/>
            <w:tcMar>
              <w:top w:w="80" w:type="dxa"/>
              <w:start w:w="120" w:type="dxa"/>
              <w:bottom w:w="80" w:type="dxa"/>
              <w:end w:w="120" w:type="dxa"/>
            </w:tcMar>
          </w:tcPr>
          <w:p>
            <w:pPr>
              <w:spacing w:after="0"/>
            </w:pPr>
            <w:r>
              <w:rPr>
                <w:sz w:val="18"/>
              </w:rPr>
              <w:t>CIM order memo names a non-Citadel broker; BNY ledger shows no AMC loan or a non-Citadel borrower</w:t>
            </w:r>
          </w:p>
        </w:tc>
        <w:tc>
          <w:tcPr>
            <w:tcW w:type="dxa" w:w="4460"/>
            <w:vAlign w:val="top"/>
            <w:tcMar>
              <w:top w:w="80" w:type="dxa"/>
              <w:start w:w="120" w:type="dxa"/>
              <w:bottom w:w="80" w:type="dxa"/>
              <w:end w:w="120" w:type="dxa"/>
            </w:tcMar>
          </w:tcPr>
          <w:p>
            <w:pPr>
              <w:spacing w:after="0"/>
            </w:pPr>
            <w:r>
              <w:rPr>
                <w:sz w:val="18"/>
              </w:rPr>
              <w:t>The direct Citadel–ACERS trading/loan theory materially weakens or fails for this account.</w:t>
            </w:r>
          </w:p>
        </w:tc>
      </w:tr>
      <w:tr>
        <w:trPr>
          <w:cantSplit/>
        </w:trPr>
        <w:tc>
          <w:tcPr>
            <w:tcW w:type="dxa" w:w="4900"/>
            <w:vAlign w:val="top"/>
            <w:tcMar>
              <w:top w:w="80" w:type="dxa"/>
              <w:start w:w="120" w:type="dxa"/>
              <w:bottom w:w="80" w:type="dxa"/>
              <w:end w:w="120" w:type="dxa"/>
            </w:tcMar>
          </w:tcPr>
          <w:p>
            <w:pPr>
              <w:spacing w:after="0"/>
            </w:pPr>
            <w:r>
              <w:rPr>
                <w:sz w:val="18"/>
              </w:rPr>
              <w:t>BNY ledger names Citadel as AMC borrower and shows a recall/return aligned with the ACERS sales</w:t>
            </w:r>
          </w:p>
        </w:tc>
        <w:tc>
          <w:tcPr>
            <w:tcW w:type="dxa" w:w="4460"/>
            <w:vAlign w:val="top"/>
            <w:tcMar>
              <w:top w:w="80" w:type="dxa"/>
              <w:start w:w="120" w:type="dxa"/>
              <w:bottom w:w="80" w:type="dxa"/>
              <w:end w:w="120" w:type="dxa"/>
            </w:tcMar>
          </w:tcPr>
          <w:p>
            <w:pPr>
              <w:spacing w:after="0"/>
            </w:pPr>
            <w:r>
              <w:rPr>
                <w:sz w:val="18"/>
              </w:rPr>
              <w:t>Direct stock-loan chain established; still does not prove litigation control without communications.</w:t>
            </w:r>
          </w:p>
        </w:tc>
      </w:tr>
      <w:tr>
        <w:trPr>
          <w:cantSplit/>
        </w:trPr>
        <w:tc>
          <w:tcPr>
            <w:tcW w:type="dxa" w:w="4900"/>
            <w:vAlign w:val="top"/>
            <w:tcMar>
              <w:top w:w="80" w:type="dxa"/>
              <w:start w:w="120" w:type="dxa"/>
              <w:bottom w:w="80" w:type="dxa"/>
              <w:end w:w="120" w:type="dxa"/>
            </w:tcMar>
          </w:tcPr>
          <w:p>
            <w:pPr>
              <w:spacing w:after="0"/>
            </w:pPr>
            <w:r>
              <w:rPr>
                <w:sz w:val="18"/>
              </w:rPr>
              <w:t>Authorization records show ACERS independently initiated after documented board review, with no counsel solicitation or outside coordination</w:t>
            </w:r>
          </w:p>
        </w:tc>
        <w:tc>
          <w:tcPr>
            <w:tcW w:type="dxa" w:w="4460"/>
            <w:vAlign w:val="top"/>
            <w:tcMar>
              <w:top w:w="80" w:type="dxa"/>
              <w:start w:w="120" w:type="dxa"/>
              <w:bottom w:w="80" w:type="dxa"/>
              <w:end w:w="120" w:type="dxa"/>
            </w:tcMar>
          </w:tcPr>
          <w:p>
            <w:pPr>
              <w:spacing w:after="0"/>
            </w:pPr>
            <w:r>
              <w:rPr>
                <w:sz w:val="18"/>
              </w:rPr>
              <w:t>Counsel-generated-suit allegation materially weakens.</w:t>
            </w:r>
          </w:p>
        </w:tc>
      </w:tr>
      <w:tr>
        <w:trPr>
          <w:cantSplit/>
        </w:trPr>
        <w:tc>
          <w:tcPr>
            <w:tcW w:type="dxa" w:w="4900"/>
            <w:vAlign w:val="top"/>
            <w:tcMar>
              <w:top w:w="80" w:type="dxa"/>
              <w:start w:w="120" w:type="dxa"/>
              <w:bottom w:w="80" w:type="dxa"/>
              <w:end w:w="120" w:type="dxa"/>
            </w:tcMar>
          </w:tcPr>
          <w:p>
            <w:pPr>
              <w:spacing w:after="0"/>
            </w:pPr>
            <w:r>
              <w:rPr>
                <w:sz w:val="18"/>
              </w:rPr>
              <w:t>Engagement/referral records show counsel initiated, monitored, or recruited ACERS and ACERS adopted the case through delegated authority</w:t>
            </w:r>
          </w:p>
        </w:tc>
        <w:tc>
          <w:tcPr>
            <w:tcW w:type="dxa" w:w="4460"/>
            <w:vAlign w:val="top"/>
            <w:tcMar>
              <w:top w:w="80" w:type="dxa"/>
              <w:start w:w="120" w:type="dxa"/>
              <w:bottom w:w="80" w:type="dxa"/>
              <w:end w:w="120" w:type="dxa"/>
            </w:tcMar>
          </w:tcPr>
          <w:p>
            <w:pPr>
              <w:spacing w:after="0"/>
            </w:pPr>
            <w:r>
              <w:rPr>
                <w:sz w:val="18"/>
              </w:rPr>
              <w:t>Counsel-driven origin inference strengthens; legality and disclosure still require separate analysis.</w:t>
            </w:r>
          </w:p>
        </w:tc>
      </w:tr>
      <w:tr>
        <w:trPr>
          <w:cantSplit/>
        </w:trPr>
        <w:tc>
          <w:tcPr>
            <w:tcW w:type="dxa" w:w="4900"/>
            <w:vAlign w:val="top"/>
            <w:tcMar>
              <w:top w:w="80" w:type="dxa"/>
              <w:start w:w="120" w:type="dxa"/>
              <w:bottom w:w="80" w:type="dxa"/>
              <w:end w:w="120" w:type="dxa"/>
            </w:tcMar>
          </w:tcPr>
          <w:p>
            <w:pPr>
              <w:spacing w:after="0"/>
            </w:pPr>
            <w:r>
              <w:rPr>
                <w:sz w:val="18"/>
              </w:rPr>
              <w:t>Mediation redlines show genuine arms-length bargaining and no prearranged conversion implementation</w:t>
            </w:r>
          </w:p>
        </w:tc>
        <w:tc>
          <w:tcPr>
            <w:tcW w:type="dxa" w:w="4460"/>
            <w:vAlign w:val="top"/>
            <w:tcMar>
              <w:top w:w="80" w:type="dxa"/>
              <w:start w:w="120" w:type="dxa"/>
              <w:bottom w:w="80" w:type="dxa"/>
              <w:end w:w="120" w:type="dxa"/>
            </w:tcMar>
          </w:tcPr>
          <w:p>
            <w:pPr>
              <w:spacing w:after="0"/>
            </w:pPr>
            <w:r>
              <w:rPr>
                <w:sz w:val="18"/>
              </w:rPr>
              <w:t>Prearranged-settlement allegation weakens.</w:t>
            </w:r>
          </w:p>
        </w:tc>
      </w:tr>
      <w:tr>
        <w:trPr>
          <w:cantSplit/>
        </w:trPr>
        <w:tc>
          <w:tcPr>
            <w:tcW w:type="dxa" w:w="4900"/>
            <w:vAlign w:val="top"/>
            <w:tcMar>
              <w:top w:w="80" w:type="dxa"/>
              <w:start w:w="120" w:type="dxa"/>
              <w:bottom w:w="80" w:type="dxa"/>
              <w:end w:w="120" w:type="dxa"/>
            </w:tcMar>
          </w:tcPr>
          <w:p>
            <w:pPr>
              <w:spacing w:after="0"/>
            </w:pPr>
            <w:r>
              <w:rPr>
                <w:sz w:val="18"/>
              </w:rPr>
              <w:t>Communications or payments link Citadel/BNY to case initiation, term sheet, status quo motion, or undisclosed benefit</w:t>
            </w:r>
          </w:p>
        </w:tc>
        <w:tc>
          <w:tcPr>
            <w:tcW w:type="dxa" w:w="4460"/>
            <w:vAlign w:val="top"/>
            <w:tcMar>
              <w:top w:w="80" w:type="dxa"/>
              <w:start w:w="120" w:type="dxa"/>
              <w:bottom w:w="80" w:type="dxa"/>
              <w:end w:w="120" w:type="dxa"/>
            </w:tcMar>
          </w:tcPr>
          <w:p>
            <w:pPr>
              <w:spacing w:after="0"/>
            </w:pPr>
            <w:r>
              <w:rPr>
                <w:sz w:val="18"/>
              </w:rPr>
              <w:t>Direct orchestration/benefit evidence; requires authentication, context, and response.</w:t>
            </w:r>
          </w:p>
        </w:tc>
      </w:tr>
      <w:tr>
        <w:trPr>
          <w:cantSplit/>
        </w:trPr>
        <w:tc>
          <w:tcPr>
            <w:tcW w:type="dxa" w:w="4900"/>
            <w:vAlign w:val="top"/>
            <w:tcMar>
              <w:top w:w="80" w:type="dxa"/>
              <w:start w:w="120" w:type="dxa"/>
              <w:bottom w:w="80" w:type="dxa"/>
              <w:end w:w="120" w:type="dxa"/>
            </w:tcMar>
          </w:tcPr>
          <w:p>
            <w:pPr>
              <w:spacing w:after="0"/>
            </w:pPr>
            <w:r>
              <w:rPr>
                <w:sz w:val="18"/>
              </w:rPr>
              <w:t>APE, proxy, and settlement ledgers reconcile fully across ACERS/BNY/DTC</w:t>
            </w:r>
          </w:p>
        </w:tc>
        <w:tc>
          <w:tcPr>
            <w:tcW w:type="dxa" w:w="4460"/>
            <w:vAlign w:val="top"/>
            <w:tcMar>
              <w:top w:w="80" w:type="dxa"/>
              <w:start w:w="120" w:type="dxa"/>
              <w:bottom w:w="80" w:type="dxa"/>
              <w:end w:w="120" w:type="dxa"/>
            </w:tcMar>
          </w:tcPr>
          <w:p>
            <w:pPr>
              <w:spacing w:after="0"/>
            </w:pPr>
            <w:r>
              <w:rPr>
                <w:sz w:val="18"/>
              </w:rPr>
              <w:t>Entitlement-manufacture allegation weakens for this account.</w:t>
            </w:r>
          </w:p>
        </w:tc>
      </w:tr>
      <w:tr>
        <w:trPr>
          <w:cantSplit/>
        </w:trPr>
        <w:tc>
          <w:tcPr>
            <w:tcW w:type="dxa" w:w="4900"/>
            <w:vAlign w:val="top"/>
            <w:tcMar>
              <w:top w:w="80" w:type="dxa"/>
              <w:start w:w="120" w:type="dxa"/>
              <w:bottom w:w="80" w:type="dxa"/>
              <w:end w:w="120" w:type="dxa"/>
            </w:tcMar>
          </w:tcPr>
          <w:p>
            <w:pPr>
              <w:spacing w:after="0"/>
            </w:pPr>
            <w:r>
              <w:rPr>
                <w:sz w:val="18"/>
              </w:rPr>
              <w:t>Ledgers show unmatched entitlements, unexplained loans/recalls, or participant imbalances</w:t>
            </w:r>
          </w:p>
        </w:tc>
        <w:tc>
          <w:tcPr>
            <w:tcW w:type="dxa" w:w="4460"/>
            <w:vAlign w:val="top"/>
            <w:tcMar>
              <w:top w:w="80" w:type="dxa"/>
              <w:start w:w="120" w:type="dxa"/>
              <w:bottom w:w="80" w:type="dxa"/>
              <w:end w:w="120" w:type="dxa"/>
            </w:tcMar>
          </w:tcPr>
          <w:p>
            <w:pPr>
              <w:spacing w:after="0"/>
            </w:pPr>
            <w:r>
              <w:rPr>
                <w:sz w:val="18"/>
              </w:rPr>
              <w:t>Creates a specific reconciliation failure for regulatory or judicial inquiry.</w:t>
            </w:r>
          </w:p>
        </w:tc>
      </w:tr>
    </w:tbl>
    <w:p>
      <w:pPr>
        <w:spacing w:after="0"/>
      </w:pPr>
    </w:p>
    <w:p>
      <w:pPr>
        <w:pStyle w:val="Heading1"/>
      </w:pPr>
      <w:r>
        <w:t>13. Final assessment</w:t>
      </w:r>
    </w:p>
    <w:p>
      <w:r>
        <w:t>The court/APE record supports a serious exact-record investigation. It proves rapid early settlement, the absence of depositions and PI briefs before the term sheet, an immediate attempt to lift the status quo order, an initially defective release, a substantial settlement paid in shares, and a lead plaintiff whose earlier AMC sales almost exactly matched its investment manager’s broader reduction. It also identifies BNY Mellon as the records-bearing custody/lending institution.</w:t>
      </w:r>
    </w:p>
    <w:p>
      <w:r>
        <w:t>The record does not yet prove that Citadel or BNY Mellon created or controlled the lawsuit. Citadel’s public connection is presently structural and inferential; BNY Mellon’s is custodial and records-based. The decisive path is finite: preserve and compel the CIM order memorandum, BNY trade and stock-loan ledger, ACERS engagement/authorization records, and the mediation/term-sheet communication trail. Those records can move the accusation toward confirmation or dismissal without asking the community to purchase another broad public dataset.</w:t>
      </w:r>
    </w:p>
    <w:p>
      <w:pPr>
        <w:pStyle w:val="Heading1"/>
      </w:pPr>
      <w:r>
        <w:t>Appendix A — preservation and production notice</w:t>
      </w:r>
    </w:p>
    <w:tbl>
      <w:tblPr>
        <w:tblW w:type="dxa" w:w="9360"/>
        <w:jc w:val="center"/>
        <w:tblLayout w:type="fixed"/>
        <w:tblLook w:firstColumn="1" w:firstRow="1" w:lastColumn="0" w:lastRow="0" w:noHBand="0" w:noVBand="1" w:val="04A0"/>
      </w:tblPr>
      <w:tblGrid>
        <w:gridCol w:w="9360"/>
      </w:tblGrid>
      <w:tr>
        <w:trPr>
          <w:cantSplit/>
        </w:trPr>
        <w:tc>
          <w:tcPr>
            <w:tcW w:type="dxa" w:w="9360"/>
            <w:tcMar>
              <w:top w:w="140" w:type="dxa"/>
              <w:start w:w="220" w:type="dxa"/>
              <w:bottom w:w="140" w:type="dxa"/>
              <w:end w:w="220" w:type="dxa"/>
            </w:tcMar>
            <w:shd w:fill="FFF4CC"/>
            <w:tcBorders>
              <w:left w:val="single" w:sz="24" w:color="B8860B"/>
            </w:tcBorders>
          </w:tcPr>
          <w:p>
            <w:pPr>
              <w:spacing w:after="80"/>
            </w:pPr>
            <w:r>
              <w:rPr>
                <w:b/>
                <w:color w:val="B8860B"/>
                <w:sz w:val="20"/>
              </w:rPr>
              <w:t>IMMEDIATE PRESERVATION</w:t>
            </w:r>
          </w:p>
          <w:p>
            <w:pPr>
              <w:spacing w:after="0"/>
            </w:pPr>
            <w:r>
              <w:t>Because federal adviser records from 2021 may approach their minimum retention horizon at the end of 2026, recipients should preserve native-format records, metadata, audit logs, backups, mobile messages, voice recordings, structured database exports, and data dictionaries now. A preservation notice should cover deletion holds, archival media, third-party service providers, and successor systems.</w:t>
            </w:r>
          </w:p>
        </w:tc>
      </w:tr>
    </w:tbl>
    <w:p>
      <w:pPr>
        <w:spacing w:after="0"/>
      </w:pPr>
    </w:p>
    <w:p>
      <w:r>
        <w:t>Requested production should use native files where available, preserve unique identifiers and time zones, include field definitions and rejection/correction logs, and state whether any responsive record was deleted, overwritten, migrated, or held by a third party. A custodian declaration should identify systems searched, date ranges, search terms, and exceptions.</w:t>
      </w:r>
    </w:p>
    <w:p>
      <w:pPr>
        <w:pStyle w:val="Heading1"/>
      </w:pPr>
      <w:r>
        <w:t>Appendix B — principal sources</w:t>
      </w:r>
    </w:p>
    <w:p>
      <w:pPr>
        <w:pStyle w:val="ListBullet"/>
        <w:spacing w:after="0" w:line="180" w:lineRule="exact"/>
      </w:pPr>
      <w:r>
        <w:rPr>
          <w:b/>
          <w:sz w:val="15"/>
        </w:rPr>
        <w:t xml:space="preserve">[C-01] </w:t>
      </w:r>
      <w:hyperlink r:id="rId11">
        <w:r>
          <w:rPr>
            <w:color w:val="2E74B5"/>
            <w:u w:val="single"/>
            <w:sz w:val="15"/>
            <w:szCs w:val="15"/>
          </w:rPr>
          <w:t>Delaware Court of Chancery August 11, 2023 memorandum opinion</w:t>
        </w:r>
      </w:hyperlink>
    </w:p>
    <w:p>
      <w:pPr>
        <w:pStyle w:val="ListBullet"/>
        <w:spacing w:after="0" w:line="180" w:lineRule="exact"/>
      </w:pPr>
      <w:r>
        <w:rPr>
          <w:b/>
          <w:sz w:val="15"/>
        </w:rPr>
        <w:t xml:space="preserve">[C-02] </w:t>
      </w:r>
      <w:hyperlink r:id="rId12">
        <w:r>
          <w:rPr>
            <w:color w:val="2E74B5"/>
            <w:u w:val="single"/>
            <w:sz w:val="15"/>
            <w:szCs w:val="15"/>
          </w:rPr>
          <w:t>Delaware Court of Chancery July 21, 2023 opinion</w:t>
        </w:r>
      </w:hyperlink>
    </w:p>
    <w:p>
      <w:pPr>
        <w:pStyle w:val="ListBullet"/>
        <w:spacing w:after="0" w:line="180" w:lineRule="exact"/>
      </w:pPr>
      <w:r>
        <w:rPr>
          <w:b/>
          <w:sz w:val="15"/>
        </w:rPr>
        <w:t xml:space="preserve">[C-03] </w:t>
      </w:r>
      <w:hyperlink r:id="rId13">
        <w:r>
          <w:rPr>
            <w:color w:val="2E74B5"/>
            <w:u w:val="single"/>
            <w:sz w:val="15"/>
            <w:szCs w:val="15"/>
          </w:rPr>
          <w:t>AMC 2023 Form 10-K: settlement, conversion, and accounting</w:t>
        </w:r>
      </w:hyperlink>
    </w:p>
    <w:p>
      <w:pPr>
        <w:pStyle w:val="ListBullet"/>
        <w:spacing w:after="0" w:line="180" w:lineRule="exact"/>
      </w:pPr>
      <w:r>
        <w:rPr>
          <w:b/>
          <w:sz w:val="15"/>
        </w:rPr>
        <w:t xml:space="preserve">[C-04] </w:t>
      </w:r>
      <w:hyperlink r:id="rId14">
        <w:r>
          <w:rPr>
            <w:color w:val="2E74B5"/>
            <w:u w:val="single"/>
            <w:sz w:val="15"/>
            <w:szCs w:val="15"/>
          </w:rPr>
          <w:t>AMC April 3, 2023 Form 8-K: settlement term sheet economics</w:t>
        </w:r>
      </w:hyperlink>
    </w:p>
    <w:p>
      <w:pPr>
        <w:pStyle w:val="ListBullet"/>
        <w:spacing w:after="0" w:line="180" w:lineRule="exact"/>
      </w:pPr>
      <w:r>
        <w:rPr>
          <w:b/>
          <w:sz w:val="15"/>
        </w:rPr>
        <w:t xml:space="preserve">[C-05] </w:t>
      </w:r>
      <w:hyperlink r:id="rId15">
        <w:r>
          <w:rPr>
            <w:color w:val="2E74B5"/>
            <w:u w:val="single"/>
            <w:sz w:val="15"/>
            <w:szCs w:val="15"/>
          </w:rPr>
          <w:t>AMC August 2023 settlement prospectus</w:t>
        </w:r>
      </w:hyperlink>
    </w:p>
    <w:p>
      <w:pPr>
        <w:pStyle w:val="ListBullet"/>
        <w:spacing w:after="0" w:line="180" w:lineRule="exact"/>
      </w:pPr>
      <w:r>
        <w:rPr>
          <w:b/>
          <w:sz w:val="15"/>
        </w:rPr>
        <w:t xml:space="preserve">[C-06] </w:t>
      </w:r>
      <w:hyperlink r:id="rId16">
        <w:r>
          <w:rPr>
            <w:color w:val="2E74B5"/>
            <w:u w:val="single"/>
            <w:sz w:val="15"/>
            <w:szCs w:val="15"/>
          </w:rPr>
          <w:t>17 C.F.R. § 275.204-2 adviser books and records</w:t>
        </w:r>
      </w:hyperlink>
    </w:p>
    <w:p>
      <w:pPr>
        <w:pStyle w:val="ListBullet"/>
        <w:spacing w:after="0" w:line="180" w:lineRule="exact"/>
      </w:pPr>
      <w:r>
        <w:rPr>
          <w:b/>
          <w:sz w:val="15"/>
        </w:rPr>
        <w:t xml:space="preserve">[C-07] </w:t>
      </w:r>
      <w:hyperlink r:id="rId17">
        <w:r>
          <w:rPr>
            <w:color w:val="2E74B5"/>
            <w:u w:val="single"/>
            <w:sz w:val="15"/>
            <w:szCs w:val="15"/>
          </w:rPr>
          <w:t>CIM Investment Management Q1 2021 Form 13F information table</w:t>
        </w:r>
      </w:hyperlink>
    </w:p>
    <w:p>
      <w:pPr>
        <w:pStyle w:val="ListBullet"/>
        <w:spacing w:after="0" w:line="180" w:lineRule="exact"/>
      </w:pPr>
      <w:r>
        <w:rPr>
          <w:b/>
          <w:sz w:val="15"/>
        </w:rPr>
        <w:t xml:space="preserve">[C-08] </w:t>
      </w:r>
      <w:hyperlink r:id="rId18">
        <w:r>
          <w:rPr>
            <w:color w:val="2E74B5"/>
            <w:u w:val="single"/>
            <w:sz w:val="15"/>
            <w:szCs w:val="15"/>
          </w:rPr>
          <w:t>CIM Investment Management Q2 2021 Form 13F information table</w:t>
        </w:r>
      </w:hyperlink>
    </w:p>
    <w:p>
      <w:pPr>
        <w:pStyle w:val="ListBullet"/>
        <w:spacing w:after="0" w:line="180" w:lineRule="exact"/>
      </w:pPr>
      <w:r>
        <w:rPr>
          <w:b/>
          <w:sz w:val="15"/>
        </w:rPr>
        <w:t xml:space="preserve">[C-09] </w:t>
      </w:r>
      <w:hyperlink r:id="rId19">
        <w:r>
          <w:rPr>
            <w:color w:val="2E74B5"/>
            <w:u w:val="single"/>
            <w:sz w:val="15"/>
            <w:szCs w:val="15"/>
          </w:rPr>
          <w:t>Court-filed ACERS response and AMC trade history</w:t>
        </w:r>
      </w:hyperlink>
    </w:p>
    <w:p>
      <w:pPr>
        <w:pStyle w:val="ListBullet"/>
        <w:spacing w:after="0" w:line="180" w:lineRule="exact"/>
      </w:pPr>
      <w:r>
        <w:rPr>
          <w:b/>
          <w:sz w:val="15"/>
        </w:rPr>
        <w:t xml:space="preserve">[C-10] </w:t>
      </w:r>
      <w:hyperlink r:id="rId20">
        <w:r>
          <w:rPr>
            <w:color w:val="2E74B5"/>
            <w:u w:val="single"/>
            <w:sz w:val="15"/>
            <w:szCs w:val="15"/>
          </w:rPr>
          <w:t>Court-filed ACERS exhibits</w:t>
        </w:r>
      </w:hyperlink>
    </w:p>
    <w:p>
      <w:pPr>
        <w:pStyle w:val="ListBullet"/>
        <w:spacing w:after="0" w:line="180" w:lineRule="exact"/>
      </w:pPr>
      <w:r>
        <w:rPr>
          <w:b/>
          <w:sz w:val="15"/>
        </w:rPr>
        <w:t xml:space="preserve">[C-11] </w:t>
      </w:r>
      <w:hyperlink r:id="rId21">
        <w:r>
          <w:rPr>
            <w:color w:val="2E74B5"/>
            <w:u w:val="single"/>
            <w:sz w:val="15"/>
            <w:szCs w:val="15"/>
          </w:rPr>
          <w:t>Court-filed BNY Mellon transaction-detail exhibit</w:t>
        </w:r>
      </w:hyperlink>
    </w:p>
    <w:p>
      <w:pPr>
        <w:pStyle w:val="ListBullet"/>
        <w:spacing w:after="0" w:line="180" w:lineRule="exact"/>
      </w:pPr>
      <w:r>
        <w:rPr>
          <w:b/>
          <w:sz w:val="15"/>
        </w:rPr>
        <w:t xml:space="preserve">[C-12] </w:t>
      </w:r>
      <w:hyperlink r:id="rId22">
        <w:r>
          <w:rPr>
            <w:color w:val="2E74B5"/>
            <w:u w:val="single"/>
            <w:sz w:val="15"/>
            <w:szCs w:val="15"/>
          </w:rPr>
          <w:t>ACERS October 2023 minutes discussing BNY Mellon securities lending</w:t>
        </w:r>
      </w:hyperlink>
    </w:p>
    <w:p>
      <w:pPr>
        <w:pStyle w:val="ListBullet"/>
        <w:spacing w:after="0" w:line="180" w:lineRule="exact"/>
      </w:pPr>
      <w:r>
        <w:rPr>
          <w:b/>
          <w:sz w:val="15"/>
        </w:rPr>
        <w:t xml:space="preserve">[C-13] </w:t>
      </w:r>
      <w:hyperlink r:id="rId23">
        <w:r>
          <w:rPr>
            <w:color w:val="2E74B5"/>
            <w:u w:val="single"/>
            <w:sz w:val="15"/>
            <w:szCs w:val="15"/>
          </w:rPr>
          <w:t>ACERS 2021 audited financial statements</w:t>
        </w:r>
      </w:hyperlink>
    </w:p>
    <w:p>
      <w:pPr>
        <w:pStyle w:val="ListBullet"/>
        <w:spacing w:after="0" w:line="180" w:lineRule="exact"/>
      </w:pPr>
      <w:r>
        <w:rPr>
          <w:b/>
          <w:sz w:val="15"/>
        </w:rPr>
        <w:t xml:space="preserve">[C-14] </w:t>
      </w:r>
      <w:hyperlink r:id="rId24">
        <w:r>
          <w:rPr>
            <w:color w:val="2E74B5"/>
            <w:u w:val="single"/>
            <w:sz w:val="15"/>
            <w:szCs w:val="15"/>
          </w:rPr>
          <w:t>BNY Mellon 2010 approved-borrower schedule</w:t>
        </w:r>
      </w:hyperlink>
    </w:p>
    <w:p>
      <w:pPr>
        <w:pStyle w:val="ListBullet"/>
        <w:spacing w:after="0" w:line="180" w:lineRule="exact"/>
      </w:pPr>
      <w:r>
        <w:rPr>
          <w:b/>
          <w:sz w:val="15"/>
        </w:rPr>
        <w:t xml:space="preserve">[C-15] </w:t>
      </w:r>
      <w:hyperlink r:id="rId25">
        <w:r>
          <w:rPr>
            <w:color w:val="2E74B5"/>
            <w:u w:val="single"/>
            <w:sz w:val="15"/>
            <w:szCs w:val="15"/>
          </w:rPr>
          <w:t>BNY Mellon July 1, 2022 approved-borrower schedule</w:t>
        </w:r>
      </w:hyperlink>
    </w:p>
    <w:p>
      <w:pPr>
        <w:pStyle w:val="ListBullet"/>
        <w:spacing w:after="0" w:line="180" w:lineRule="exact"/>
      </w:pPr>
      <w:r>
        <w:rPr>
          <w:b/>
          <w:sz w:val="15"/>
        </w:rPr>
        <w:t xml:space="preserve">[C-16] </w:t>
      </w:r>
      <w:hyperlink r:id="rId26">
        <w:r>
          <w:rPr>
            <w:color w:val="2E74B5"/>
            <w:u w:val="single"/>
            <w:sz w:val="15"/>
            <w:szCs w:val="15"/>
          </w:rPr>
          <w:t>Energy Transfer case confirming prior ACERS–Bernstein Litowitz relationship</w:t>
        </w:r>
      </w:hyperlink>
    </w:p>
    <w:p>
      <w:pPr>
        <w:pStyle w:val="ListBullet"/>
        <w:spacing w:after="0" w:line="180" w:lineRule="exact"/>
      </w:pPr>
      <w:r>
        <w:rPr>
          <w:b/>
          <w:sz w:val="15"/>
        </w:rPr>
        <w:t xml:space="preserve">[C-17] </w:t>
      </w:r>
      <w:hyperlink r:id="rId27">
        <w:r>
          <w:rPr>
            <w:color w:val="2E74B5"/>
            <w:u w:val="single"/>
            <w:sz w:val="15"/>
            <w:szCs w:val="15"/>
          </w:rPr>
          <w:t>Palantir 2023 Form 10-K describing ACERS October 2022 action</w:t>
        </w:r>
      </w:hyperlink>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color w:val="5B6573"/>
        <w:sz w:val="16"/>
      </w:rPr>
      <w:t xml:space="preserve">Prepared August 10, 2026  •  Page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Bdr>
        <w:bottom w:val="single" w:sz="8" w:space="4" w:color="5B9BD5"/>
      </w:pBdr>
    </w:pPr>
    <w:r>
      <w:rPr>
        <w:rFonts w:ascii="Calibri" w:hAnsi="Calibri"/>
        <w:b/>
        <w:color w:val="17365D"/>
        <w:sz w:val="17"/>
      </w:rPr>
      <w:t>THE AMC APE CAGE  •  EVIDENCE REPORT</w:t>
    </w:r>
    <w:r>
      <w:t xml:space="preserve">    |    </w:t>
    </w:r>
    <w:r>
      <w:rPr>
        <w:rFonts w:ascii="Calibri" w:hAnsi="Calibri"/>
        <w:color w:val="5B6573"/>
        <w:sz w:val="17"/>
      </w:rPr>
      <w:t>COURT AND APE INVESTIGATION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20" w:line="264" w:lineRule="auto"/>
    </w:pPr>
    <w:rPr>
      <w:rFonts w:ascii="Calibri" w:hAnsi="Calibri"/>
      <w:color w:val="1F1F1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60" w:line="280" w:lineRule="auto"/>
      <w:ind w:left="720" w:hanging="360"/>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law.justia.com/cases/delaware/court-of-chancery/2023/c-a-no-2023-0215-mtz-8.html" TargetMode="External"/><Relationship Id="rId12" Type="http://schemas.openxmlformats.org/officeDocument/2006/relationships/hyperlink" Target="https://law.justia.com/cases/delaware/court-of-chancery/2023/c-a-no-2023-0215-mtz-6.html" TargetMode="External"/><Relationship Id="rId13" Type="http://schemas.openxmlformats.org/officeDocument/2006/relationships/hyperlink" Target="https://www.sec.gov/Archives/edgar/data/1411579/000141157924000021/amc-20231231x10k.htm" TargetMode="External"/><Relationship Id="rId14" Type="http://schemas.openxmlformats.org/officeDocument/2006/relationships/hyperlink" Target="https://www.sec.gov/Archives/edgar/data/1411579/000110465923040961/tm2311404d1_8k.htm" TargetMode="External"/><Relationship Id="rId15" Type="http://schemas.openxmlformats.org/officeDocument/2006/relationships/hyperlink" Target="https://www.sec.gov/Archives/edgar/data/1411579/000110465923098510/tm2324803d1_424b5.htm" TargetMode="External"/><Relationship Id="rId16" Type="http://schemas.openxmlformats.org/officeDocument/2006/relationships/hyperlink" Target="https://www.ecfr.gov/current/title-17/chapter-II/part-275/section-275.204-2" TargetMode="External"/><Relationship Id="rId17" Type="http://schemas.openxmlformats.org/officeDocument/2006/relationships/hyperlink" Target="https://www.sec.gov/Archives/edgar/data/1179791/000106299321004880/form13fInfoTable.xml" TargetMode="External"/><Relationship Id="rId18" Type="http://schemas.openxmlformats.org/officeDocument/2006/relationships/hyperlink" Target="https://www.sec.gov/Archives/edgar/data/1179791/000106299321007488/form13fInfoTable.xml" TargetMode="External"/><Relationship Id="rId19" Type="http://schemas.openxmlformats.org/officeDocument/2006/relationships/hyperlink" Target="https://www.docketalarm.com/cases/Delaware_State_Court_of_Chancery/2023-0215/CONF_ORD_-_CONS_W-_2023-0216-MTZ_-_IN_RE_AMC_ENTERTAINMENT_HOLDINGS_INC._STOCKHOLDER_LITIGATION/91985521/" TargetMode="External"/><Relationship Id="rId20" Type="http://schemas.openxmlformats.org/officeDocument/2006/relationships/hyperlink" Target="https://www.docketalarm.com/cases/Delaware_State_Court_of_Chancery/2023-0215/CONF_ORD_-_CONS_W-_2023-0216-MTZ_-_IN_RE_AMC_ENTERTAINMENT_HOLDINGS_INC._STOCKHOLDER_LITIGATION/91985521/91985522/" TargetMode="External"/><Relationship Id="rId21" Type="http://schemas.openxmlformats.org/officeDocument/2006/relationships/hyperlink" Target="https://www.docketalarm.com/cases/Delaware_State_Court_of_Chancery/2023-0215/CONF_ORD_-_CONS_W-_2023-0216-MTZ_-_IN_RE_AMC_ENTERTAINMENT_HOLDINGS_INC._STOCKHOLDER_LITIGATION/91953283/91953284/" TargetMode="External"/><Relationship Id="rId22" Type="http://schemas.openxmlformats.org/officeDocument/2006/relationships/hyperlink" Target="https://www.alleghenycounty.us/files/assets/county/v/1/government/retirement/retirement-board/meeting-minutes/2023/rbac-minutes-oct-2023.pdf" TargetMode="External"/><Relationship Id="rId23" Type="http://schemas.openxmlformats.org/officeDocument/2006/relationships/hyperlink" Target="https://www.alleghenycounty.us/files/assets/county/v/1/government/retirement/pension-fund/audit-reports/2021-retirement-board-financial-statements.pdf" TargetMode="External"/><Relationship Id="rId24" Type="http://schemas.openxmlformats.org/officeDocument/2006/relationships/hyperlink" Target="https://www.sec.gov/Archives/edgar/data/889284/000095012311006622/c41195bexv99whw7.htm" TargetMode="External"/><Relationship Id="rId25" Type="http://schemas.openxmlformats.org/officeDocument/2006/relationships/hyperlink" Target="https://www.sec.gov/Archives/edgar/data/1919700/000191970022000026/exh6-touchstoneetfslaabnym.htm" TargetMode="External"/><Relationship Id="rId26" Type="http://schemas.openxmlformats.org/officeDocument/2006/relationships/hyperlink" Target="https://caselaw.findlaw.com/court/us-dis-crt-ed-pen/116472943.html" TargetMode="External"/><Relationship Id="rId27" Type="http://schemas.openxmlformats.org/officeDocument/2006/relationships/hyperlink" Target="https://www.sec.gov/Archives/edgar/data/1321655/000132165524000022/pltr-2023123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AMC Court and APE Investigation</dc:title>
  <dc:subject>AMC 2023 stockholder litigation, APE conversion, and attribution test</dc:subject>
  <dc:creator>James Allen / The AMC Ape Cage</dc:creator>
  <cp:keywords>AMC, Citadel Securities, BNY Mellon, market structure, investigation</cp:keywords>
  <dc:description>Evidence-bound investigative report; allegations are not adjudicated findings.</dc:description>
  <cp:lastModifiedBy/>
  <cp:revision>1</cp:revision>
  <dcterms:created xsi:type="dcterms:W3CDTF">2013-12-23T23:15:00Z</dcterms:created>
  <dcterms:modified xsi:type="dcterms:W3CDTF">2013-12-23T23:15:00Z</dcterms:modified>
  <cp:category/>
</cp:coreProperties>
</file>