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Kicker"/>
        <w:spacing w:before="160"/>
      </w:pPr>
      <w:r>
        <w:t>CASE FILE 001  •  PUBLISHED FINDINGS</w:t>
      </w:r>
    </w:p>
    <w:p>
      <w:pPr>
        <w:keepNext/>
        <w:spacing w:after="60"/>
      </w:pPr>
      <w:r>
        <w:rPr>
          <w:rFonts w:ascii="Calibri" w:hAnsi="Calibri"/>
          <w:b/>
          <w:color w:val="201B28"/>
          <w:sz w:val="54"/>
        </w:rPr>
        <w:t>Dumb Money Found the Receipts</w:t>
      </w:r>
    </w:p>
    <w:p>
      <w:pPr>
        <w:keepNext/>
        <w:spacing w:after="280"/>
      </w:pPr>
      <w:r>
        <w:rPr>
          <w:rFonts w:ascii="Calibri" w:hAnsi="Calibri"/>
          <w:b/>
          <w:color w:val="5F5968"/>
          <w:sz w:val="27"/>
        </w:rPr>
        <w:t>FTX bankruptcy-table AMC/GME labels, bankruptcy claim math and OCC intraday risk</w:t>
      </w:r>
    </w:p>
    <w:p>
      <w:pPr>
        <w:spacing w:after="40"/>
      </w:pPr>
      <w:r>
        <w:rPr>
          <w:rFonts w:ascii="Calibri" w:hAnsi="Calibri"/>
          <w:b/>
          <w:color w:val="201B28"/>
          <w:sz w:val="20"/>
        </w:rPr>
        <w:t xml:space="preserve">Status: </w:t>
      </w:r>
      <w:r>
        <w:rPr>
          <w:rFonts w:ascii="Calibri" w:hAnsi="Calibri"/>
          <w:color w:val="5F5968"/>
          <w:sz w:val="20"/>
        </w:rPr>
        <w:t>Published findings; investigation remains open</w:t>
      </w:r>
    </w:p>
    <w:p>
      <w:pPr>
        <w:spacing w:after="40"/>
      </w:pPr>
      <w:r>
        <w:rPr>
          <w:rFonts w:ascii="Calibri" w:hAnsi="Calibri"/>
          <w:b/>
          <w:color w:val="201B28"/>
          <w:sz w:val="20"/>
        </w:rPr>
        <w:t xml:space="preserve">Evidence cut-off: </w:t>
      </w:r>
      <w:r>
        <w:rPr>
          <w:rFonts w:ascii="Calibri" w:hAnsi="Calibri"/>
          <w:color w:val="5F5968"/>
          <w:sz w:val="20"/>
        </w:rPr>
        <w:t>July 12, 2026</w:t>
      </w:r>
    </w:p>
    <w:p>
      <w:pPr>
        <w:spacing w:after="40"/>
      </w:pPr>
      <w:r>
        <w:rPr>
          <w:rFonts w:ascii="Calibri" w:hAnsi="Calibri"/>
          <w:b/>
          <w:color w:val="201B28"/>
          <w:sz w:val="20"/>
        </w:rPr>
        <w:t xml:space="preserve">Original broadcast: </w:t>
      </w:r>
      <w:r>
        <w:rPr>
          <w:rFonts w:ascii="Calibri" w:hAnsi="Calibri"/>
          <w:color w:val="5F5968"/>
          <w:sz w:val="20"/>
        </w:rPr>
        <w:t>July 9, 2026 (YouTube listing dated July 10, 2026)</w:t>
      </w:r>
    </w:p>
    <w:p>
      <w:pPr>
        <w:spacing w:after="40"/>
      </w:pPr>
      <w:r>
        <w:rPr>
          <w:rFonts w:ascii="Calibri" w:hAnsi="Calibri"/>
          <w:b/>
          <w:color w:val="201B28"/>
          <w:sz w:val="20"/>
        </w:rPr>
        <w:t xml:space="preserve">Research and analysis: </w:t>
      </w:r>
      <w:r>
        <w:rPr>
          <w:rFonts w:ascii="Calibri" w:hAnsi="Calibri"/>
          <w:color w:val="5F5968"/>
          <w:sz w:val="20"/>
        </w:rPr>
        <w:t>James Allen / Security James and Crazy Angry Matt</w:t>
      </w:r>
    </w:p>
    <w:p>
      <w:pPr>
        <w:spacing w:after="40"/>
      </w:pPr>
      <w:r>
        <w:rPr>
          <w:rFonts w:ascii="Calibri" w:hAnsi="Calibri"/>
          <w:b/>
          <w:color w:val="201B28"/>
          <w:sz w:val="20"/>
        </w:rPr>
        <w:t xml:space="preserve">Host, editor and publication: </w:t>
      </w:r>
      <w:r>
        <w:rPr>
          <w:rFonts w:ascii="Calibri" w:hAnsi="Calibri"/>
          <w:color w:val="5F5968"/>
          <w:sz w:val="20"/>
        </w:rPr>
        <w:t>Security James / Joker Ape | The AMC Ape Cage</w:t>
      </w:r>
    </w:p>
    <w:p>
      <w:pPr>
        <w:spacing w:before="60" w:after="240"/>
        <w:pBdr>
          <w:bottom w:val="single" w:sz="10" w:space="6" w:color="D6B25E"/>
        </w:pBdr>
      </w:pPr>
      <w:r>
        <w:rPr>
          <w:rFonts w:ascii="Calibri" w:hAnsi="Calibri"/>
          <w:b/>
          <w:color w:val="201B28"/>
          <w:sz w:val="20"/>
        </w:rPr>
        <w:t xml:space="preserve">Related episode: </w:t>
      </w:r>
      <w:hyperlink r:id="rId11">
        <w:r>
          <w:rPr>
            <w:rFonts w:ascii="Calibri" w:hAnsi="Calibri"/>
            <w:color w:val="A77D1D"/>
            <w:u w:val="single"/>
          </w:rPr>
          <w:t>AMC: Dumb Money Found the Receipts, and Now the Plumbing Is Nervous</w:t>
        </w:r>
      </w:hyperlink>
    </w:p>
    <w:p>
      <w:pPr>
        <w:spacing w:before="80" w:after="200" w:line="269" w:lineRule="auto"/>
        <w:ind w:left="173" w:right="115"/>
        <w:shd w:fill="F7F0DD"/>
        <w:pBdr>
          <w:left w:val="single" w:sz="18" w:space="8" w:color="D6B25E"/>
        </w:pBdr>
      </w:pPr>
      <w:r>
        <w:rPr>
          <w:rFonts w:ascii="Calibri" w:hAnsi="Calibri"/>
          <w:b/>
          <w:color w:val="A77D1D"/>
          <w:sz w:val="20"/>
        </w:rPr>
        <w:t xml:space="preserve">EVIDENCE STANDARD  </w:t>
      </w:r>
      <w:r>
        <w:rPr>
          <w:rFonts w:ascii="Calibri" w:hAnsi="Calibri"/>
          <w:color w:val="201B28"/>
          <w:sz w:val="21"/>
        </w:rPr>
        <w:t>This is not a final accusation. It is a source-linked record of what the reviewed documents establish, what they do not establish and what records are still missing. The appearance of a ticker in a bankruptcy table is not proof of share backing, token misuse or market-price causation.</w:t>
      </w:r>
    </w:p>
    <w:p>
      <w:pPr>
        <w:pStyle w:val="Heading1"/>
      </w:pPr>
      <w:r>
        <w:rPr>
          <w:rFonts w:ascii="Calibri" w:hAnsi="Calibri"/>
          <w:color w:val="A77D1D"/>
          <w:sz w:val="32"/>
        </w:rPr>
        <w:t>Executive finding</w:t>
      </w:r>
    </w:p>
    <w:p>
      <w:pPr/>
      <w:r>
        <w:rPr>
          <w:rFonts w:ascii="Calibri" w:hAnsi="Calibri"/>
          <w:color w:val="201B28"/>
          <w:sz w:val="22"/>
        </w:rPr>
        <w:t>The reviewed record establishes three narrow but important facts:</w:t>
      </w:r>
    </w:p>
    <w:p>
      <w:pPr>
        <w:numPr>
          <w:ilvl w:val="0"/>
          <w:numId w:val="12"/>
        </w:numPr>
      </w:pPr>
      <w:r>
        <w:rPr>
          <w:rFonts w:ascii="Calibri" w:hAnsi="Calibri"/>
          <w:color w:val="201B28"/>
          <w:sz w:val="22"/>
        </w:rPr>
        <w:t xml:space="preserve">A court-approved FTX bankruptcy claim-estimation table placed AMC-, APEAMC- and GME-labeled rows under the headings </w:t>
      </w:r>
      <w:r>
        <w:rPr>
          <w:rFonts w:ascii="Calibri" w:hAnsi="Calibri"/>
          <w:b/>
          <w:color w:val="201B28"/>
          <w:sz w:val="22"/>
        </w:rPr>
        <w:t>Tokenized Stocks</w:t>
      </w:r>
      <w:r>
        <w:rPr>
          <w:rFonts w:ascii="Calibri" w:hAnsi="Calibri"/>
          <w:color w:val="201B28"/>
          <w:sz w:val="22"/>
        </w:rPr>
        <w:t xml:space="preserve"> and </w:t>
      </w:r>
      <w:r>
        <w:rPr>
          <w:rFonts w:ascii="Calibri" w:hAnsi="Calibri"/>
          <w:b/>
          <w:color w:val="201B28"/>
          <w:sz w:val="22"/>
        </w:rPr>
        <w:t>Futures</w:t>
      </w:r>
      <w:r>
        <w:rPr>
          <w:rFonts w:ascii="Calibri" w:hAnsi="Calibri"/>
          <w:color w:val="201B28"/>
          <w:sz w:val="22"/>
        </w:rPr>
        <w:t>.</w:t>
      </w:r>
    </w:p>
    <w:p>
      <w:pPr>
        <w:numPr>
          <w:ilvl w:val="0"/>
          <w:numId w:val="12"/>
        </w:numPr>
      </w:pPr>
      <w:r>
        <w:rPr>
          <w:rFonts w:ascii="Calibri" w:hAnsi="Calibri"/>
          <w:color w:val="201B28"/>
          <w:sz w:val="22"/>
        </w:rPr>
        <w:t xml:space="preserve">A later FTX Recovery Trust </w:t>
      </w:r>
      <w:r>
        <w:rPr>
          <w:rFonts w:ascii="Calibri" w:hAnsi="Calibri"/>
          <w:b/>
          <w:color w:val="201B28"/>
          <w:sz w:val="22"/>
        </w:rPr>
        <w:t>proposed-order exhibit</w:t>
      </w:r>
      <w:r>
        <w:rPr>
          <w:rFonts w:ascii="Calibri" w:hAnsi="Calibri"/>
          <w:color w:val="201B28"/>
          <w:sz w:val="22"/>
        </w:rPr>
        <w:t xml:space="preserve"> shows a claim-administration mechanism that sought to align specified customer claims with the Debtors' books and records and, for certain generalized allegations, reduce claim components to zero under the confirmed plan and Global Settlement.</w:t>
      </w:r>
    </w:p>
    <w:p>
      <w:pPr>
        <w:numPr>
          <w:ilvl w:val="0"/>
          <w:numId w:val="12"/>
        </w:numPr>
      </w:pPr>
      <w:r>
        <w:rPr>
          <w:rFonts w:ascii="Calibri" w:hAnsi="Calibri"/>
          <w:color w:val="201B28"/>
          <w:sz w:val="22"/>
        </w:rPr>
        <w:t>OCC and SEC records document a limitation in the earlier clearing-risk framework: it captured intraday price changes but did not fully capture intraday position changes, including positions that were closed, exercised or expired before the end-of-day position set.</w:t>
      </w:r>
    </w:p>
    <w:p>
      <w:pPr/>
      <w:r>
        <w:rPr>
          <w:rFonts w:ascii="Calibri" w:hAnsi="Calibri"/>
          <w:color w:val="201B28"/>
          <w:sz w:val="22"/>
        </w:rPr>
        <w:t xml:space="preserve">The documents do </w:t>
      </w:r>
      <w:r>
        <w:rPr>
          <w:rFonts w:ascii="Calibri" w:hAnsi="Calibri"/>
          <w:b/>
          <w:color w:val="201B28"/>
          <w:sz w:val="22"/>
        </w:rPr>
        <w:t>not</w:t>
      </w:r>
      <w:r>
        <w:rPr>
          <w:rFonts w:ascii="Calibri" w:hAnsi="Calibri"/>
          <w:color w:val="201B28"/>
          <w:sz w:val="22"/>
        </w:rPr>
        <w:t xml:space="preserve"> identify the backing, custody or redemption chain behind the AMC/GME-labeled entries. They do not connect those entries to a specific broker, market maker, clearing member or June 2021 transaction. They do not prove that tokenized products or OCC's documented framework limitation caused AMC's 2021 price movement.</w:t>
      </w:r>
    </w:p>
    <w:p>
      <w:pPr>
        <w:pStyle w:val="Heading1"/>
      </w:pPr>
      <w:r>
        <w:rPr>
          <w:rFonts w:ascii="Calibri" w:hAnsi="Calibri"/>
          <w:color w:val="A77D1D"/>
          <w:sz w:val="32"/>
        </w:rPr>
        <w:t>The question under investigation</w:t>
      </w:r>
    </w:p>
    <w:p>
      <w:pPr/>
      <w:r>
        <w:rPr>
          <w:rFonts w:ascii="Calibri" w:hAnsi="Calibri"/>
          <w:color w:val="201B28"/>
          <w:sz w:val="22"/>
        </w:rPr>
        <w:t>What do the FTX claim-estimation materials and OCC intraday-risk records establish about AMC/GME-labeled entries and intraday clearing and margin infrastructure—and what records would be required to test a causal connection to underlying equity or options activity?</w:t>
      </w:r>
    </w:p>
    <w:p>
      <w:pPr>
        <w:pStyle w:val="Heading1"/>
      </w:pPr>
      <w:r>
        <w:rPr>
          <w:rFonts w:ascii="Calibri" w:hAnsi="Calibri"/>
          <w:color w:val="A77D1D"/>
          <w:sz w:val="32"/>
        </w:rPr>
        <w:t>Receipt 1 — The FTX claim-estimation table</w:t>
      </w:r>
    </w:p>
    <w:p>
      <w:pPr/>
      <w:r>
        <w:rPr>
          <w:rFonts w:ascii="Calibri" w:hAnsi="Calibri"/>
          <w:color w:val="201B28"/>
          <w:sz w:val="22"/>
        </w:rPr>
        <w:t xml:space="preserve">On February 7, 2024, the U.S. Bankruptcy Court entered </w:t>
      </w:r>
      <w:r>
        <w:rPr>
          <w:rFonts w:ascii="Calibri" w:hAnsi="Calibri"/>
          <w:b/>
          <w:color w:val="201B28"/>
          <w:sz w:val="22"/>
        </w:rPr>
        <w:t>D.I. 7090, Order Granting Motion of Debtors to Estimate Claims Based on Digital Assets</w:t>
      </w:r>
      <w:r>
        <w:rPr>
          <w:rFonts w:ascii="Calibri" w:hAnsi="Calibri"/>
          <w:color w:val="201B28"/>
          <w:sz w:val="22"/>
        </w:rPr>
        <w:t xml:space="preserve">. The order approved a Digital Assets Conversion Table for estimating claims for solicitation, voting and distribution. The table includes separate headings for </w:t>
      </w:r>
      <w:r>
        <w:rPr>
          <w:rFonts w:ascii="Calibri" w:hAnsi="Calibri"/>
          <w:b/>
          <w:color w:val="201B28"/>
          <w:sz w:val="22"/>
        </w:rPr>
        <w:t>Tokenized Stocks</w:t>
      </w:r>
      <w:r>
        <w:rPr>
          <w:rFonts w:ascii="Calibri" w:hAnsi="Calibri"/>
          <w:color w:val="201B28"/>
          <w:sz w:val="22"/>
        </w:rPr>
        <w:t xml:space="preserve">, </w:t>
      </w:r>
      <w:r>
        <w:rPr>
          <w:rFonts w:ascii="Calibri" w:hAnsi="Calibri"/>
          <w:b/>
          <w:color w:val="201B28"/>
          <w:sz w:val="22"/>
        </w:rPr>
        <w:t>Spot+ Derivatives (EU Only)</w:t>
      </w:r>
      <w:r>
        <w:rPr>
          <w:rFonts w:ascii="Calibri" w:hAnsi="Calibri"/>
          <w:color w:val="201B28"/>
          <w:sz w:val="22"/>
        </w:rPr>
        <w:t xml:space="preserve"> and </w:t>
      </w:r>
      <w:r>
        <w:rPr>
          <w:rFonts w:ascii="Calibri" w:hAnsi="Calibri"/>
          <w:b/>
          <w:color w:val="201B28"/>
          <w:sz w:val="22"/>
        </w:rPr>
        <w:t>Futures</w:t>
      </w:r>
      <w:r>
        <w:rPr>
          <w:rFonts w:ascii="Calibri" w:hAnsi="Calibri"/>
          <w:color w:val="201B28"/>
          <w:sz w:val="22"/>
        </w:rPr>
        <w:t>. The order expressly reserves questions about whether digital assets were property of the estates and says the estimation process is not an admission concerning the validity or type of any claim. The headings therefore are not judicial findings about issuance, backing, custody or market activity.</w:t>
      </w:r>
    </w:p>
    <w:p>
      <w:pPr/>
      <w:r>
        <w:rPr>
          <w:rFonts w:ascii="Calibri" w:hAnsi="Calibri"/>
          <w:color w:val="201B28"/>
          <w:sz w:val="22"/>
        </w:rPr>
        <w:t>The attached table, D.I. 7090-1, contains the following rows. These figures are bankruptcy conversion values tied to the November 11, 2022 valuation methodology—not current market prices, reserve values or evidence of backing:</w:t>
      </w:r>
    </w:p>
    <w:p>
      <w:pPr>
        <w:numPr>
          <w:ilvl w:val="0"/>
          <w:numId w:val="10"/>
        </w:numPr>
      </w:pPr>
      <w:r>
        <w:rPr>
          <w:rFonts w:ascii="Calibri" w:hAnsi="Calibri"/>
          <w:b/>
          <w:color w:val="201B28"/>
          <w:sz w:val="22"/>
        </w:rPr>
        <w:t>Tokenized Stocks, page 19:</w:t>
      </w:r>
      <w:r>
        <w:rPr>
          <w:rFonts w:ascii="Calibri" w:hAnsi="Calibri"/>
          <w:color w:val="201B28"/>
          <w:sz w:val="22"/>
        </w:rPr>
        <w:t xml:space="preserve"> Row 773, AMC — $2.3736839</w:t>
      </w:r>
    </w:p>
    <w:p>
      <w:pPr>
        <w:numPr>
          <w:ilvl w:val="0"/>
          <w:numId w:val="10"/>
        </w:numPr>
      </w:pPr>
      <w:r>
        <w:rPr>
          <w:rFonts w:ascii="Calibri" w:hAnsi="Calibri"/>
          <w:b/>
          <w:color w:val="201B28"/>
          <w:sz w:val="22"/>
        </w:rPr>
        <w:t>Tokenized Stocks, page 19:</w:t>
      </w:r>
      <w:r>
        <w:rPr>
          <w:rFonts w:ascii="Calibri" w:hAnsi="Calibri"/>
          <w:color w:val="201B28"/>
          <w:sz w:val="22"/>
        </w:rPr>
        <w:t xml:space="preserve"> Row 777, APEAMC — $2.8312387</w:t>
      </w:r>
    </w:p>
    <w:p>
      <w:pPr>
        <w:numPr>
          <w:ilvl w:val="0"/>
          <w:numId w:val="10"/>
        </w:numPr>
      </w:pPr>
      <w:r>
        <w:rPr>
          <w:rFonts w:ascii="Calibri" w:hAnsi="Calibri"/>
          <w:b/>
          <w:color w:val="201B28"/>
          <w:sz w:val="22"/>
        </w:rPr>
        <w:t>Tokenized Stocks, page 19:</w:t>
      </w:r>
      <w:r>
        <w:rPr>
          <w:rFonts w:ascii="Calibri" w:hAnsi="Calibri"/>
          <w:color w:val="201B28"/>
          <w:sz w:val="22"/>
        </w:rPr>
        <w:t xml:space="preserve"> Row 799, GME — $21.7725000</w:t>
      </w:r>
    </w:p>
    <w:p>
      <w:pPr>
        <w:numPr>
          <w:ilvl w:val="0"/>
          <w:numId w:val="10"/>
        </w:numPr>
      </w:pPr>
      <w:r>
        <w:rPr>
          <w:rFonts w:ascii="Calibri" w:hAnsi="Calibri"/>
          <w:b/>
          <w:color w:val="201B28"/>
          <w:sz w:val="22"/>
        </w:rPr>
        <w:t>Futures, page 25:</w:t>
      </w:r>
      <w:r>
        <w:rPr>
          <w:rFonts w:ascii="Calibri" w:hAnsi="Calibri"/>
          <w:color w:val="201B28"/>
          <w:sz w:val="22"/>
        </w:rPr>
        <w:t xml:space="preserve"> Row 1044, AMC-1230 — $6.6562500</w:t>
      </w:r>
    </w:p>
    <w:p>
      <w:pPr>
        <w:numPr>
          <w:ilvl w:val="0"/>
          <w:numId w:val="10"/>
        </w:numPr>
      </w:pPr>
      <w:r>
        <w:rPr>
          <w:rFonts w:ascii="Calibri" w:hAnsi="Calibri"/>
          <w:b/>
          <w:color w:val="201B28"/>
          <w:sz w:val="22"/>
        </w:rPr>
        <w:t>Futures, page 27:</w:t>
      </w:r>
      <w:r>
        <w:rPr>
          <w:rFonts w:ascii="Calibri" w:hAnsi="Calibri"/>
          <w:color w:val="201B28"/>
          <w:sz w:val="22"/>
        </w:rPr>
        <w:t xml:space="preserve"> Row 1162, GME-1230 — $27.7250000</w:t>
      </w:r>
    </w:p>
    <w:p>
      <w:pPr>
        <w:pStyle w:val="Heading2"/>
      </w:pPr>
      <w:r>
        <w:rPr>
          <w:rFonts w:ascii="Calibri" w:hAnsi="Calibri"/>
          <w:color w:val="201B28"/>
          <w:sz w:val="26"/>
        </w:rPr>
        <w:t>What this confirms</w:t>
      </w:r>
    </w:p>
    <w:p>
      <w:pPr>
        <w:numPr>
          <w:ilvl w:val="0"/>
          <w:numId w:val="10"/>
        </w:numPr>
      </w:pPr>
      <w:r>
        <w:rPr>
          <w:rFonts w:ascii="Calibri" w:hAnsi="Calibri"/>
          <w:color w:val="201B28"/>
          <w:sz w:val="22"/>
        </w:rPr>
        <w:t>AMC-, APEAMC- and GME-labeled instruments appeared in a court-approved bankruptcy claim-estimation table.</w:t>
      </w:r>
    </w:p>
    <w:p>
      <w:pPr>
        <w:numPr>
          <w:ilvl w:val="0"/>
          <w:numId w:val="10"/>
        </w:numPr>
      </w:pPr>
      <w:r>
        <w:rPr>
          <w:rFonts w:ascii="Calibri" w:hAnsi="Calibri"/>
          <w:color w:val="201B28"/>
          <w:sz w:val="22"/>
        </w:rPr>
        <w:t>The table categorized AMC, APEAMC and GME as Tokenized Stocks and AMC-1230 and GME-1230 as Futures.</w:t>
      </w:r>
    </w:p>
    <w:p>
      <w:pPr>
        <w:numPr>
          <w:ilvl w:val="0"/>
          <w:numId w:val="10"/>
        </w:numPr>
      </w:pPr>
      <w:r>
        <w:rPr>
          <w:rFonts w:ascii="Calibri" w:hAnsi="Calibri"/>
          <w:color w:val="201B28"/>
          <w:sz w:val="22"/>
        </w:rPr>
        <w:t>The listed figures were November 11, 2022 bankruptcy conversion values used for claim-estimation purposes.</w:t>
      </w:r>
    </w:p>
    <w:p>
      <w:pPr>
        <w:pStyle w:val="Heading2"/>
      </w:pPr>
      <w:r>
        <w:rPr>
          <w:rFonts w:ascii="Calibri" w:hAnsi="Calibri"/>
          <w:color w:val="201B28"/>
          <w:sz w:val="26"/>
        </w:rPr>
        <w:t>What this does not confirm</w:t>
      </w:r>
    </w:p>
    <w:p>
      <w:pPr>
        <w:numPr>
          <w:ilvl w:val="0"/>
          <w:numId w:val="10"/>
        </w:numPr>
      </w:pPr>
      <w:r>
        <w:rPr>
          <w:rFonts w:ascii="Calibri" w:hAnsi="Calibri"/>
          <w:color w:val="201B28"/>
          <w:sz w:val="22"/>
        </w:rPr>
        <w:t>The quantity of any instrument held by a customer.</w:t>
      </w:r>
    </w:p>
    <w:p>
      <w:pPr>
        <w:numPr>
          <w:ilvl w:val="0"/>
          <w:numId w:val="10"/>
        </w:numPr>
      </w:pPr>
      <w:r>
        <w:rPr>
          <w:rFonts w:ascii="Calibri" w:hAnsi="Calibri"/>
          <w:color w:val="201B28"/>
          <w:sz w:val="22"/>
        </w:rPr>
        <w:t>Whether any token was backed one-for-one by an underlying share.</w:t>
      </w:r>
    </w:p>
    <w:p>
      <w:pPr>
        <w:numPr>
          <w:ilvl w:val="0"/>
          <w:numId w:val="10"/>
        </w:numPr>
      </w:pPr>
      <w:r>
        <w:rPr>
          <w:rFonts w:ascii="Calibri" w:hAnsi="Calibri"/>
          <w:color w:val="201B28"/>
          <w:sz w:val="22"/>
        </w:rPr>
        <w:t>The identity of a custodian, broker, issuer, administrator or market maker.</w:t>
      </w:r>
    </w:p>
    <w:p>
      <w:pPr>
        <w:numPr>
          <w:ilvl w:val="0"/>
          <w:numId w:val="10"/>
        </w:numPr>
      </w:pPr>
      <w:r>
        <w:rPr>
          <w:rFonts w:ascii="Calibri" w:hAnsi="Calibri"/>
          <w:color w:val="201B28"/>
          <w:sz w:val="22"/>
        </w:rPr>
        <w:t>A CUSIP, reserve account, wallet, mint/burn history or redemption trail.</w:t>
      </w:r>
    </w:p>
    <w:p>
      <w:pPr>
        <w:numPr>
          <w:ilvl w:val="0"/>
          <w:numId w:val="10"/>
        </w:numPr>
      </w:pPr>
      <w:r>
        <w:rPr>
          <w:rFonts w:ascii="Calibri" w:hAnsi="Calibri"/>
          <w:color w:val="201B28"/>
          <w:sz w:val="22"/>
        </w:rPr>
        <w:t>Whether an instrument was lent, rehypothecated, used as collateral or used as a locate.</w:t>
      </w:r>
    </w:p>
    <w:p>
      <w:pPr>
        <w:numPr>
          <w:ilvl w:val="0"/>
          <w:numId w:val="10"/>
        </w:numPr>
      </w:pPr>
      <w:r>
        <w:rPr>
          <w:rFonts w:ascii="Calibri" w:hAnsi="Calibri"/>
          <w:color w:val="201B28"/>
          <w:sz w:val="22"/>
        </w:rPr>
        <w:t>Any effect on AMC or GME equity or options prices.</w:t>
      </w:r>
    </w:p>
    <w:p>
      <w:pPr>
        <w:pStyle w:val="Heading2"/>
      </w:pPr>
      <w:r>
        <w:rPr>
          <w:rFonts w:ascii="Calibri" w:hAnsi="Calibri"/>
          <w:color w:val="201B28"/>
          <w:sz w:val="26"/>
        </w:rPr>
        <w:t>Open question</w:t>
      </w:r>
    </w:p>
    <w:p>
      <w:pPr/>
      <w:r>
        <w:rPr>
          <w:rFonts w:ascii="Calibri" w:hAnsi="Calibri"/>
          <w:color w:val="201B28"/>
          <w:sz w:val="22"/>
        </w:rPr>
        <w:t>What issuance, reserve, custody, wallet, redemption and counterparty records connect these bankruptcy-table labels—if at all—to actual underlying shares or market transactions?</w:t>
      </w:r>
    </w:p>
    <w:p>
      <w:pPr>
        <w:pStyle w:val="Heading1"/>
      </w:pPr>
      <w:r>
        <w:rPr>
          <w:rFonts w:ascii="Calibri" w:hAnsi="Calibri"/>
          <w:color w:val="A77D1D"/>
          <w:sz w:val="32"/>
        </w:rPr>
        <w:t>Receipt 2 — When broader allegations become claim math</w:t>
      </w:r>
    </w:p>
    <w:p>
      <w:pPr/>
      <w:r>
        <w:rPr>
          <w:rFonts w:ascii="Calibri" w:hAnsi="Calibri"/>
          <w:color w:val="201B28"/>
          <w:sz w:val="22"/>
        </w:rPr>
        <w:t xml:space="preserve">The show reviewed </w:t>
      </w:r>
      <w:r>
        <w:rPr>
          <w:rFonts w:ascii="Calibri" w:hAnsi="Calibri"/>
          <w:b/>
          <w:color w:val="201B28"/>
          <w:sz w:val="22"/>
        </w:rPr>
        <w:t>FTX Trading Ltd., Case No. 22-11068 (KBO), D.I. 31051-1</w:t>
      </w:r>
      <w:r>
        <w:rPr>
          <w:rFonts w:ascii="Calibri" w:hAnsi="Calibri"/>
          <w:color w:val="201B28"/>
          <w:sz w:val="22"/>
        </w:rPr>
        <w:t xml:space="preserve">, filed June 26, 2025. Accuracy matters here: the reviewed document is marked </w:t>
      </w:r>
      <w:r>
        <w:rPr>
          <w:rFonts w:ascii="Calibri" w:hAnsi="Calibri"/>
          <w:b/>
          <w:color w:val="201B28"/>
          <w:sz w:val="22"/>
        </w:rPr>
        <w:t>Exhibit A</w:t>
      </w:r>
      <w:r>
        <w:rPr>
          <w:rFonts w:ascii="Calibri" w:hAnsi="Calibri"/>
          <w:color w:val="201B28"/>
          <w:sz w:val="22"/>
        </w:rPr>
        <w:t xml:space="preserve">, contains a blank signature/date line and is best described as a </w:t>
      </w:r>
      <w:r>
        <w:rPr>
          <w:rFonts w:ascii="Calibri" w:hAnsi="Calibri"/>
          <w:b/>
          <w:color w:val="201B28"/>
          <w:sz w:val="22"/>
        </w:rPr>
        <w:t>proposed order filed with D.I. 31051</w:t>
      </w:r>
      <w:r>
        <w:rPr>
          <w:rFonts w:ascii="Calibri" w:hAnsi="Calibri"/>
          <w:color w:val="201B28"/>
          <w:sz w:val="22"/>
        </w:rPr>
        <w:t>, not as a separately verified final order entered by the judge.</w:t>
      </w:r>
    </w:p>
    <w:p>
      <w:pPr/>
      <w:r>
        <w:rPr>
          <w:rFonts w:ascii="Calibri" w:hAnsi="Calibri"/>
          <w:color w:val="201B28"/>
          <w:sz w:val="22"/>
        </w:rPr>
        <w:t>The proposed order would sustain the FTX Recovery Trust's 174th substantive omnibus objection and modify or reduce the scheduled claims. It also states that modified claims would remain on the claims register subject to further objections. Its non-admission clause says the objection and proposed order should not be treated as an admission regarding a claim's amount, basis or validity, a promise to pay, a lien admission or a waiver of claims or defenses.</w:t>
      </w:r>
    </w:p>
    <w:p>
      <w:pPr/>
      <w:r>
        <w:rPr>
          <w:rFonts w:ascii="Calibri" w:hAnsi="Calibri"/>
          <w:color w:val="201B28"/>
          <w:sz w:val="22"/>
        </w:rPr>
        <w:t>In Schedule 1, the Trust says it reviewed proofs of claim, accompanying materials and the Debtors' books and records. Where asserted crypto or fiat quantities did not match account holdings, it sought to modify the claims to match those books and records. For certain generalized allegations, the schedule cites the confirmed plan and Global Settlement and says liability is limited to Allowed Customer Entitlement Claims, with generalized claim and cause-of-action components reduced to zero.</w:t>
      </w:r>
    </w:p>
    <w:p>
      <w:pPr>
        <w:pStyle w:val="Heading2"/>
      </w:pPr>
      <w:r>
        <w:rPr>
          <w:rFonts w:ascii="Calibri" w:hAnsi="Calibri"/>
          <w:color w:val="201B28"/>
          <w:sz w:val="26"/>
        </w:rPr>
        <w:t>What this confirms</w:t>
      </w:r>
    </w:p>
    <w:p>
      <w:pPr>
        <w:numPr>
          <w:ilvl w:val="0"/>
          <w:numId w:val="10"/>
        </w:numPr>
      </w:pPr>
      <w:r>
        <w:rPr>
          <w:rFonts w:ascii="Calibri" w:hAnsi="Calibri"/>
          <w:color w:val="201B28"/>
          <w:sz w:val="22"/>
        </w:rPr>
        <w:t>The filed exhibit documents the Trust's proposed method for converting specified claims to books-and-records quantities.</w:t>
      </w:r>
    </w:p>
    <w:p>
      <w:pPr>
        <w:numPr>
          <w:ilvl w:val="0"/>
          <w:numId w:val="10"/>
        </w:numPr>
      </w:pPr>
      <w:r>
        <w:rPr>
          <w:rFonts w:ascii="Calibri" w:hAnsi="Calibri"/>
          <w:color w:val="201B28"/>
          <w:sz w:val="22"/>
        </w:rPr>
        <w:t>For the listed claims, the schedule proposed reducing specified generalized claim components to zero under the confirmed plan and Global Settlement; the proposed order did not adjudicate the truth of those allegations.</w:t>
      </w:r>
    </w:p>
    <w:p>
      <w:pPr>
        <w:numPr>
          <w:ilvl w:val="0"/>
          <w:numId w:val="10"/>
        </w:numPr>
      </w:pPr>
      <w:r>
        <w:rPr>
          <w:rFonts w:ascii="Calibri" w:hAnsi="Calibri"/>
          <w:color w:val="201B28"/>
          <w:sz w:val="22"/>
        </w:rPr>
        <w:t>The proposed language preserves further objections and contains broad non-admission protections.</w:t>
      </w:r>
    </w:p>
    <w:p>
      <w:pPr>
        <w:pStyle w:val="Heading2"/>
      </w:pPr>
      <w:r>
        <w:rPr>
          <w:rFonts w:ascii="Calibri" w:hAnsi="Calibri"/>
          <w:color w:val="201B28"/>
          <w:sz w:val="26"/>
        </w:rPr>
        <w:t>What this does not confirm</w:t>
      </w:r>
    </w:p>
    <w:p>
      <w:pPr>
        <w:numPr>
          <w:ilvl w:val="0"/>
          <w:numId w:val="10"/>
        </w:numPr>
      </w:pPr>
      <w:r>
        <w:rPr>
          <w:rFonts w:ascii="Calibri" w:hAnsi="Calibri"/>
          <w:color w:val="201B28"/>
          <w:sz w:val="22"/>
        </w:rPr>
        <w:t>That every underlying allegation was true or false.</w:t>
      </w:r>
    </w:p>
    <w:p>
      <w:pPr>
        <w:numPr>
          <w:ilvl w:val="0"/>
          <w:numId w:val="10"/>
        </w:numPr>
      </w:pPr>
      <w:r>
        <w:rPr>
          <w:rFonts w:ascii="Calibri" w:hAnsi="Calibri"/>
          <w:color w:val="201B28"/>
          <w:sz w:val="22"/>
        </w:rPr>
        <w:t>That the court independently adjudicated every alleged act described in a claimant's filing.</w:t>
      </w:r>
    </w:p>
    <w:p>
      <w:pPr>
        <w:numPr>
          <w:ilvl w:val="0"/>
          <w:numId w:val="10"/>
        </w:numPr>
      </w:pPr>
      <w:r>
        <w:rPr>
          <w:rFonts w:ascii="Calibri" w:hAnsi="Calibri"/>
          <w:color w:val="201B28"/>
          <w:sz w:val="22"/>
        </w:rPr>
        <w:t>That AMC/GME tokens were unbacked, misused, rehypothecated or connected to synthetic sell pressure.</w:t>
      </w:r>
    </w:p>
    <w:p>
      <w:pPr>
        <w:numPr>
          <w:ilvl w:val="0"/>
          <w:numId w:val="10"/>
        </w:numPr>
      </w:pPr>
      <w:r>
        <w:rPr>
          <w:rFonts w:ascii="Calibri" w:hAnsi="Calibri"/>
          <w:color w:val="201B28"/>
          <w:sz w:val="22"/>
        </w:rPr>
        <w:t>Any causal link between the FTX claims process and AMC's market price.</w:t>
      </w:r>
    </w:p>
    <w:p>
      <w:pPr>
        <w:numPr>
          <w:ilvl w:val="0"/>
          <w:numId w:val="10"/>
        </w:numPr>
      </w:pPr>
      <w:r>
        <w:rPr>
          <w:rFonts w:ascii="Calibri" w:hAnsi="Calibri"/>
          <w:color w:val="201B28"/>
          <w:sz w:val="22"/>
        </w:rPr>
        <w:t>Entry of this specific unsigned proposed order as a final judicial order; the entered-order docket number remains to be obtained.</w:t>
      </w:r>
    </w:p>
    <w:p>
      <w:pPr>
        <w:pStyle w:val="Heading2"/>
      </w:pPr>
      <w:r>
        <w:rPr>
          <w:rFonts w:ascii="Calibri" w:hAnsi="Calibri"/>
          <w:color w:val="201B28"/>
          <w:sz w:val="26"/>
        </w:rPr>
        <w:t>Open question</w:t>
      </w:r>
    </w:p>
    <w:p>
      <w:pPr/>
      <w:r>
        <w:rPr>
          <w:rFonts w:ascii="Calibri" w:hAnsi="Calibri"/>
          <w:color w:val="201B28"/>
          <w:sz w:val="22"/>
        </w:rPr>
        <w:t>What source-level account, wallet, custody, counterparty and reconciliation records supported the Trust's books-and-records balances—and where is the separately entered order corresponding to D.I. 31051-1?</w:t>
      </w:r>
    </w:p>
    <w:p>
      <w:pPr>
        <w:pStyle w:val="Heading1"/>
      </w:pPr>
      <w:r>
        <w:rPr>
          <w:rFonts w:ascii="Calibri" w:hAnsi="Calibri"/>
          <w:color w:val="A77D1D"/>
          <w:sz w:val="32"/>
        </w:rPr>
        <w:t>Receipt 3 — OCC's intraday-risk gap</w:t>
      </w:r>
    </w:p>
    <w:p>
      <w:pPr/>
      <w:r>
        <w:rPr>
          <w:rFonts w:ascii="Calibri" w:hAnsi="Calibri"/>
          <w:color w:val="201B28"/>
          <w:sz w:val="22"/>
        </w:rPr>
        <w:t xml:space="preserve">OCC Information Memo 55123 and SEC File </w:t>
      </w:r>
      <w:r>
        <w:rPr>
          <w:rFonts w:ascii="Calibri" w:hAnsi="Calibri"/>
          <w:b/>
          <w:color w:val="201B28"/>
          <w:sz w:val="22"/>
        </w:rPr>
        <w:t>SR-OCC-2024-010</w:t>
      </w:r>
      <w:r>
        <w:rPr>
          <w:rFonts w:ascii="Calibri" w:hAnsi="Calibri"/>
          <w:color w:val="201B28"/>
          <w:sz w:val="22"/>
        </w:rPr>
        <w:t xml:space="preserve"> proposed an Intraday Risk Charge for all clearing-member accounts and all OCC-cleared products, including short-dated and same-day-expiring options. The original proposal used position snapshots generated at 20-minute intervals and a prior-month average of daily peak intraday risk increases.</w:t>
      </w:r>
    </w:p>
    <w:p>
      <w:pPr/>
      <w:r>
        <w:rPr>
          <w:rFonts w:ascii="Calibri" w:hAnsi="Calibri"/>
          <w:color w:val="201B28"/>
          <w:sz w:val="22"/>
        </w:rPr>
        <w:t>OCC's original one-year impact analysis estimated an aggregate average margin increase below 5%. The ten most affected firms collectively represented approximately 68% of the additional assessed margin, with average daily increases ranging from approximately 3% to 35%. Those figures were an impact analysis for the original proposal; they are not evidence that those unnamed firms received actual margin calls tied to AMC.</w:t>
      </w:r>
    </w:p>
    <w:p>
      <w:pPr/>
      <w:r>
        <w:rPr>
          <w:rFonts w:ascii="Calibri" w:hAnsi="Calibri"/>
          <w:color w:val="201B28"/>
          <w:sz w:val="22"/>
        </w:rPr>
        <w:t xml:space="preserve">The SEC approved a narrowed version in April 2025. The approved calculation generally uses verified daily peak risk increases caused by portfolio-position changes, measured from 20-minute snapshots between </w:t>
      </w:r>
      <w:r>
        <w:rPr>
          <w:rFonts w:ascii="Calibri" w:hAnsi="Calibri"/>
          <w:b/>
          <w:color w:val="201B28"/>
          <w:sz w:val="22"/>
        </w:rPr>
        <w:t>11:00 a.m. and 12:30 p.m. Central</w:t>
      </w:r>
      <w:r>
        <w:rPr>
          <w:rFonts w:ascii="Calibri" w:hAnsi="Calibri"/>
          <w:color w:val="201B28"/>
          <w:sz w:val="22"/>
        </w:rPr>
        <w:t xml:space="preserve"> over the preceding month. Its general scope covers OCC margin accounts for which intraday position information is available, excluding OCC-CME cross-margin accounts.</w:t>
      </w:r>
    </w:p>
    <w:p>
      <w:pPr/>
      <w:r>
        <w:rPr>
          <w:rFonts w:ascii="Calibri" w:hAnsi="Calibri"/>
          <w:color w:val="201B28"/>
          <w:sz w:val="22"/>
        </w:rPr>
        <w:t>Most importantly, the SEC approval explains that the prior framework captured intraday price changes but did not fully capture intraday position changes. Positions traded out of, exercised or expired before the end of the day could be absent from the end-of-day position set.</w:t>
      </w:r>
    </w:p>
    <w:p>
      <w:pPr>
        <w:pStyle w:val="Heading2"/>
      </w:pPr>
      <w:r>
        <w:rPr>
          <w:rFonts w:ascii="Calibri" w:hAnsi="Calibri"/>
          <w:color w:val="201B28"/>
          <w:sz w:val="26"/>
        </w:rPr>
        <w:t>What this confirms</w:t>
      </w:r>
    </w:p>
    <w:p>
      <w:pPr>
        <w:numPr>
          <w:ilvl w:val="0"/>
          <w:numId w:val="10"/>
        </w:numPr>
      </w:pPr>
      <w:r>
        <w:rPr>
          <w:rFonts w:ascii="Calibri" w:hAnsi="Calibri"/>
          <w:color w:val="201B28"/>
          <w:sz w:val="22"/>
        </w:rPr>
        <w:t>OCC identified a limitation in its prior margining and intraday-monitoring framework for measuring risk created by intraday position changes.</w:t>
      </w:r>
    </w:p>
    <w:p>
      <w:pPr>
        <w:numPr>
          <w:ilvl w:val="0"/>
          <w:numId w:val="10"/>
        </w:numPr>
      </w:pPr>
      <w:r>
        <w:rPr>
          <w:rFonts w:ascii="Calibri" w:hAnsi="Calibri"/>
          <w:color w:val="201B28"/>
          <w:sz w:val="22"/>
        </w:rPr>
        <w:t>End-of-day data could omit positions that disappeared before the closing position set.</w:t>
      </w:r>
    </w:p>
    <w:p>
      <w:pPr>
        <w:numPr>
          <w:ilvl w:val="0"/>
          <w:numId w:val="10"/>
        </w:numPr>
      </w:pPr>
      <w:r>
        <w:rPr>
          <w:rFonts w:ascii="Calibri" w:hAnsi="Calibri"/>
          <w:color w:val="201B28"/>
          <w:sz w:val="22"/>
        </w:rPr>
        <w:t>OCC considered the gap significant enough to adopt a new margin add-on and monitoring framework.</w:t>
      </w:r>
    </w:p>
    <w:p>
      <w:pPr>
        <w:pStyle w:val="Heading2"/>
      </w:pPr>
      <w:r>
        <w:rPr>
          <w:rFonts w:ascii="Calibri" w:hAnsi="Calibri"/>
          <w:color w:val="201B28"/>
          <w:sz w:val="26"/>
        </w:rPr>
        <w:t>What this does not confirm</w:t>
      </w:r>
    </w:p>
    <w:p>
      <w:pPr>
        <w:numPr>
          <w:ilvl w:val="0"/>
          <w:numId w:val="10"/>
        </w:numPr>
      </w:pPr>
      <w:r>
        <w:rPr>
          <w:rFonts w:ascii="Calibri" w:hAnsi="Calibri"/>
          <w:color w:val="201B28"/>
          <w:sz w:val="22"/>
        </w:rPr>
        <w:t>The identity of the ten firms in OCC's impact analysis.</w:t>
      </w:r>
    </w:p>
    <w:p>
      <w:pPr>
        <w:numPr>
          <w:ilvl w:val="0"/>
          <w:numId w:val="10"/>
        </w:numPr>
      </w:pPr>
      <w:r>
        <w:rPr>
          <w:rFonts w:ascii="Calibri" w:hAnsi="Calibri"/>
          <w:color w:val="201B28"/>
          <w:sz w:val="22"/>
        </w:rPr>
        <w:t>Any AMC-, GME- or June 2021-specific clearing member, account, option position, transaction or margin deficiency.</w:t>
      </w:r>
    </w:p>
    <w:p>
      <w:pPr>
        <w:numPr>
          <w:ilvl w:val="0"/>
          <w:numId w:val="10"/>
        </w:numPr>
      </w:pPr>
      <w:r>
        <w:rPr>
          <w:rFonts w:ascii="Calibri" w:hAnsi="Calibri"/>
          <w:color w:val="201B28"/>
          <w:sz w:val="22"/>
        </w:rPr>
        <w:t>That an OCC monitoring gap caused AMC's June 2021 trading event.</w:t>
      </w:r>
    </w:p>
    <w:p>
      <w:pPr>
        <w:numPr>
          <w:ilvl w:val="0"/>
          <w:numId w:val="10"/>
        </w:numPr>
      </w:pPr>
      <w:r>
        <w:rPr>
          <w:rFonts w:ascii="Calibri" w:hAnsi="Calibri"/>
          <w:color w:val="201B28"/>
          <w:sz w:val="22"/>
        </w:rPr>
        <w:t>That the original proposal's 68% statistic represented actual margin calls or realized losses.</w:t>
      </w:r>
    </w:p>
    <w:p>
      <w:pPr>
        <w:pStyle w:val="Heading2"/>
      </w:pPr>
      <w:r>
        <w:rPr>
          <w:rFonts w:ascii="Calibri" w:hAnsi="Calibri"/>
          <w:color w:val="201B28"/>
          <w:sz w:val="26"/>
        </w:rPr>
        <w:t>Open question</w:t>
      </w:r>
    </w:p>
    <w:p>
      <w:pPr/>
      <w:r>
        <w:rPr>
          <w:rFonts w:ascii="Calibri" w:hAnsi="Calibri"/>
          <w:color w:val="201B28"/>
          <w:sz w:val="22"/>
        </w:rPr>
        <w:t>Which clearing-member-level positions, intraday risk calculations, collateral movements, margin calls and responses existed around AMC's June 2021 options activity, and what would a position-aware reconstruction show?</w:t>
      </w:r>
    </w:p>
    <w:p>
      <w:pPr>
        <w:pStyle w:val="Heading1"/>
      </w:pPr>
      <w:r>
        <w:rPr>
          <w:rFonts w:ascii="Calibri" w:hAnsi="Calibri"/>
          <w:color w:val="A77D1D"/>
          <w:sz w:val="32"/>
        </w:rPr>
        <w:t>The price record is a trigger, not a verdict</w:t>
      </w:r>
    </w:p>
    <w:p>
      <w:pPr/>
      <w:r>
        <w:rPr>
          <w:rFonts w:ascii="Calibri" w:hAnsi="Calibri"/>
          <w:color w:val="201B28"/>
          <w:sz w:val="22"/>
        </w:rPr>
        <w:t xml:space="preserve">Reuters reported that AMC closed at </w:t>
      </w:r>
      <w:r>
        <w:rPr>
          <w:rFonts w:ascii="Calibri" w:hAnsi="Calibri"/>
          <w:b/>
          <w:color w:val="201B28"/>
          <w:sz w:val="22"/>
        </w:rPr>
        <w:t>$33.43 on July 14, 2021</w:t>
      </w:r>
      <w:r>
        <w:rPr>
          <w:rFonts w:ascii="Calibri" w:hAnsi="Calibri"/>
          <w:color w:val="201B28"/>
          <w:sz w:val="22"/>
        </w:rPr>
        <w:t xml:space="preserve">, approximately </w:t>
      </w:r>
      <w:r>
        <w:rPr>
          <w:rFonts w:ascii="Calibri" w:hAnsi="Calibri"/>
          <w:b/>
          <w:color w:val="201B28"/>
          <w:sz w:val="22"/>
        </w:rPr>
        <w:t>54% below</w:t>
      </w:r>
      <w:r>
        <w:rPr>
          <w:rFonts w:ascii="Calibri" w:hAnsi="Calibri"/>
          <w:color w:val="201B28"/>
          <w:sz w:val="22"/>
        </w:rPr>
        <w:t xml:space="preserve"> its early-June high of </w:t>
      </w:r>
      <w:r>
        <w:rPr>
          <w:rFonts w:ascii="Calibri" w:hAnsi="Calibri"/>
          <w:b/>
          <w:color w:val="201B28"/>
          <w:sz w:val="22"/>
        </w:rPr>
        <w:t>$72.62</w:t>
      </w:r>
      <w:r>
        <w:rPr>
          <w:rFonts w:ascii="Calibri" w:hAnsi="Calibri"/>
          <w:color w:val="201B28"/>
          <w:sz w:val="22"/>
        </w:rPr>
        <w:t>. That is a documented price decline worthy of forensic review. It is not, by itself, evidence of tokenized abuse, clearing misconduct or a particular actor.</w:t>
      </w:r>
    </w:p>
    <w:p>
      <w:pPr/>
      <w:r>
        <w:rPr>
          <w:rFonts w:ascii="Calibri" w:hAnsi="Calibri"/>
          <w:color w:val="201B28"/>
          <w:sz w:val="22"/>
        </w:rPr>
        <w:t>Conventional explanations—including momentum cooling, profit-taking, options de-hedging, dilution concerns and changing reopening expectations—remain possible. Those explanations do not eliminate the need to answer the separate backing, custody, routing and intraday-risk questions raised by the official records.</w:t>
      </w:r>
    </w:p>
    <w:p>
      <w:pPr>
        <w:pStyle w:val="Heading1"/>
      </w:pPr>
      <w:r>
        <w:rPr>
          <w:rFonts w:ascii="Calibri" w:hAnsi="Calibri"/>
          <w:color w:val="A77D1D"/>
          <w:sz w:val="32"/>
        </w:rPr>
        <w:t>Evidence ledger</w:t>
      </w:r>
    </w:p>
    <w:tbl>
      <w:tblPr>
        <w:tblStyle w:val="TableGrid"/>
        <w:tblW w:type="dxa" w:w="9360"/>
        <w:jc w:val="left"/>
        <w:tblLayout w:type="fixed"/>
        <w:tblLook w:firstColumn="1" w:firstRow="1" w:lastColumn="0" w:lastRow="0" w:noHBand="0" w:noVBand="1" w:val="04A0"/>
        <w:tblInd w:w="120" w:type="dxa"/>
      </w:tblPr>
      <w:tblGrid>
        <w:gridCol w:w="2088"/>
        <w:gridCol w:w="3528"/>
        <w:gridCol w:w="3744"/>
      </w:tblGrid>
      <w:tr>
        <w:trPr>
          <w:tblHeader w:val="true"/>
        </w:trPr>
        <w:tc>
          <w:tcPr>
            <w:tcW w:type="dxa" w:w="2088"/>
            <w:tcMar>
              <w:top w:w="80" w:type="dxa"/>
              <w:start w:w="120" w:type="dxa"/>
              <w:bottom w:w="80" w:type="dxa"/>
              <w:end w:w="120" w:type="dxa"/>
            </w:tcMar>
            <w:vAlign w:val="center"/>
            <w:shd w:fill="F2F4F7"/>
          </w:tcPr>
          <w:p>
            <w:pPr>
              <w:spacing w:before="20" w:after="20" w:line="252" w:lineRule="auto"/>
            </w:pPr>
            <w:r>
              <w:rPr>
                <w:rFonts w:ascii="Calibri" w:hAnsi="Calibri"/>
                <w:b/>
                <w:color w:val="201B28"/>
                <w:sz w:val="18"/>
              </w:rPr>
              <w:t>Record</w:t>
            </w:r>
          </w:p>
        </w:tc>
        <w:tc>
          <w:tcPr>
            <w:tcW w:type="dxa" w:w="3528"/>
            <w:tcMar>
              <w:top w:w="80" w:type="dxa"/>
              <w:start w:w="120" w:type="dxa"/>
              <w:bottom w:w="80" w:type="dxa"/>
              <w:end w:w="120" w:type="dxa"/>
            </w:tcMar>
            <w:vAlign w:val="center"/>
            <w:shd w:fill="F2F4F7"/>
          </w:tcPr>
          <w:p>
            <w:pPr>
              <w:spacing w:before="20" w:after="20" w:line="252" w:lineRule="auto"/>
            </w:pPr>
            <w:r>
              <w:rPr>
                <w:rFonts w:ascii="Calibri" w:hAnsi="Calibri"/>
                <w:b/>
                <w:color w:val="201B28"/>
                <w:sz w:val="18"/>
              </w:rPr>
              <w:t>Established</w:t>
            </w:r>
          </w:p>
        </w:tc>
        <w:tc>
          <w:tcPr>
            <w:tcW w:type="dxa" w:w="3744"/>
            <w:tcMar>
              <w:top w:w="80" w:type="dxa"/>
              <w:start w:w="120" w:type="dxa"/>
              <w:bottom w:w="80" w:type="dxa"/>
              <w:end w:w="120" w:type="dxa"/>
            </w:tcMar>
            <w:vAlign w:val="center"/>
            <w:shd w:fill="F2F4F7"/>
          </w:tcPr>
          <w:p>
            <w:pPr>
              <w:spacing w:before="20" w:after="20" w:line="252" w:lineRule="auto"/>
            </w:pPr>
            <w:r>
              <w:rPr>
                <w:rFonts w:ascii="Calibri" w:hAnsi="Calibri"/>
                <w:b/>
                <w:color w:val="201B28"/>
                <w:sz w:val="18"/>
              </w:rPr>
              <w:t>Still not established</w:t>
            </w:r>
          </w:p>
        </w:tc>
      </w:tr>
      <w:tr>
        <w:tc>
          <w:tcPr>
            <w:tcW w:type="dxa" w:w="2088"/>
            <w:tcMar>
              <w:top w:w="80" w:type="dxa"/>
              <w:start w:w="120" w:type="dxa"/>
              <w:bottom w:w="80" w:type="dxa"/>
              <w:end w:w="120" w:type="dxa"/>
            </w:tcMar>
            <w:vAlign w:val="center"/>
          </w:tcPr>
          <w:p>
            <w:pPr>
              <w:spacing w:before="20" w:after="20" w:line="252" w:lineRule="auto"/>
            </w:pPr>
            <w:r>
              <w:rPr>
                <w:rFonts w:ascii="Calibri" w:hAnsi="Calibri"/>
                <w:color w:val="201B28"/>
                <w:sz w:val="18"/>
              </w:rPr>
              <w:t>FTX D.I. 7090 and 7090-1</w:t>
            </w:r>
          </w:p>
        </w:tc>
        <w:tc>
          <w:tcPr>
            <w:tcW w:type="dxa" w:w="3528"/>
            <w:tcMar>
              <w:top w:w="80" w:type="dxa"/>
              <w:start w:w="120" w:type="dxa"/>
              <w:bottom w:w="80" w:type="dxa"/>
              <w:end w:w="120" w:type="dxa"/>
            </w:tcMar>
            <w:vAlign w:val="center"/>
          </w:tcPr>
          <w:p>
            <w:pPr>
              <w:spacing w:before="20" w:after="20" w:line="252" w:lineRule="auto"/>
            </w:pPr>
            <w:r>
              <w:rPr>
                <w:rFonts w:ascii="Calibri" w:hAnsi="Calibri"/>
                <w:color w:val="201B28"/>
                <w:sz w:val="18"/>
              </w:rPr>
              <w:t>AMC-, APEAMC- and GME-labeled rows appeared in a court-approved claim-estimation table under the headings Tokenized Stocks and Futures.</w:t>
            </w:r>
          </w:p>
        </w:tc>
        <w:tc>
          <w:tcPr>
            <w:tcW w:type="dxa" w:w="3744"/>
            <w:tcMar>
              <w:top w:w="80" w:type="dxa"/>
              <w:start w:w="120" w:type="dxa"/>
              <w:bottom w:w="80" w:type="dxa"/>
              <w:end w:w="120" w:type="dxa"/>
            </w:tcMar>
            <w:vAlign w:val="center"/>
          </w:tcPr>
          <w:p>
            <w:pPr>
              <w:spacing w:before="20" w:after="20" w:line="252" w:lineRule="auto"/>
            </w:pPr>
            <w:r>
              <w:rPr>
                <w:rFonts w:ascii="Calibri" w:hAnsi="Calibri"/>
                <w:color w:val="201B28"/>
                <w:sz w:val="18"/>
              </w:rPr>
              <w:t>Quantity, backing, custody, redemption, lending, collateral use or market impact.</w:t>
            </w:r>
          </w:p>
        </w:tc>
      </w:tr>
      <w:tr>
        <w:tc>
          <w:tcPr>
            <w:tcW w:type="dxa" w:w="2088"/>
            <w:tcMar>
              <w:top w:w="80" w:type="dxa"/>
              <w:start w:w="120" w:type="dxa"/>
              <w:bottom w:w="80" w:type="dxa"/>
              <w:end w:w="120" w:type="dxa"/>
            </w:tcMar>
            <w:vAlign w:val="center"/>
          </w:tcPr>
          <w:p>
            <w:pPr>
              <w:spacing w:before="20" w:after="20" w:line="252" w:lineRule="auto"/>
            </w:pPr>
            <w:r>
              <w:rPr>
                <w:rFonts w:ascii="Calibri" w:hAnsi="Calibri"/>
                <w:color w:val="201B28"/>
                <w:sz w:val="18"/>
              </w:rPr>
              <w:t>FTX D.I. 31051-1</w:t>
            </w:r>
          </w:p>
        </w:tc>
        <w:tc>
          <w:tcPr>
            <w:tcW w:type="dxa" w:w="3528"/>
            <w:tcMar>
              <w:top w:w="80" w:type="dxa"/>
              <w:start w:w="120" w:type="dxa"/>
              <w:bottom w:w="80" w:type="dxa"/>
              <w:end w:w="120" w:type="dxa"/>
            </w:tcMar>
            <w:vAlign w:val="center"/>
          </w:tcPr>
          <w:p>
            <w:pPr>
              <w:spacing w:before="20" w:after="20" w:line="252" w:lineRule="auto"/>
            </w:pPr>
            <w:r>
              <w:rPr>
                <w:rFonts w:ascii="Calibri" w:hAnsi="Calibri"/>
                <w:color w:val="201B28"/>
                <w:sz w:val="18"/>
              </w:rPr>
              <w:t>A filed proposed-order exhibit describes books-and-records claim modification and plan-based reduction of certain generalized components.</w:t>
            </w:r>
          </w:p>
        </w:tc>
        <w:tc>
          <w:tcPr>
            <w:tcW w:type="dxa" w:w="3744"/>
            <w:tcMar>
              <w:top w:w="80" w:type="dxa"/>
              <w:start w:w="120" w:type="dxa"/>
              <w:bottom w:w="80" w:type="dxa"/>
              <w:end w:w="120" w:type="dxa"/>
            </w:tcMar>
            <w:vAlign w:val="center"/>
          </w:tcPr>
          <w:p>
            <w:pPr>
              <w:spacing w:before="20" w:after="20" w:line="252" w:lineRule="auto"/>
            </w:pPr>
            <w:r>
              <w:rPr>
                <w:rFonts w:ascii="Calibri" w:hAnsi="Calibri"/>
                <w:color w:val="201B28"/>
                <w:sz w:val="18"/>
              </w:rPr>
              <w:t>Final entry of that specific proposed order; truth or falsity of each underlying allegation; AMC/GME linkage.</w:t>
            </w:r>
          </w:p>
        </w:tc>
      </w:tr>
      <w:tr>
        <w:tc>
          <w:tcPr>
            <w:tcW w:type="dxa" w:w="2088"/>
            <w:tcMar>
              <w:top w:w="80" w:type="dxa"/>
              <w:start w:w="120" w:type="dxa"/>
              <w:bottom w:w="80" w:type="dxa"/>
              <w:end w:w="120" w:type="dxa"/>
            </w:tcMar>
            <w:vAlign w:val="center"/>
          </w:tcPr>
          <w:p>
            <w:pPr>
              <w:spacing w:before="20" w:after="20" w:line="252" w:lineRule="auto"/>
            </w:pPr>
            <w:r>
              <w:rPr>
                <w:rFonts w:ascii="Calibri" w:hAnsi="Calibri"/>
                <w:color w:val="201B28"/>
                <w:sz w:val="18"/>
              </w:rPr>
              <w:t>OCC/SEC SR-OCC-2024-010</w:t>
            </w:r>
          </w:p>
        </w:tc>
        <w:tc>
          <w:tcPr>
            <w:tcW w:type="dxa" w:w="3528"/>
            <w:tcMar>
              <w:top w:w="80" w:type="dxa"/>
              <w:start w:w="120" w:type="dxa"/>
              <w:bottom w:w="80" w:type="dxa"/>
              <w:end w:w="120" w:type="dxa"/>
            </w:tcMar>
            <w:vAlign w:val="center"/>
          </w:tcPr>
          <w:p>
            <w:pPr>
              <w:spacing w:before="20" w:after="20" w:line="252" w:lineRule="auto"/>
            </w:pPr>
            <w:r>
              <w:rPr>
                <w:rFonts w:ascii="Calibri" w:hAnsi="Calibri"/>
                <w:color w:val="201B28"/>
                <w:sz w:val="18"/>
              </w:rPr>
              <w:t>The prior framework did not fully capture risk from intraday position changes, including positions absent at end of day.</w:t>
            </w:r>
          </w:p>
        </w:tc>
        <w:tc>
          <w:tcPr>
            <w:tcW w:type="dxa" w:w="3744"/>
            <w:tcMar>
              <w:top w:w="80" w:type="dxa"/>
              <w:start w:w="120" w:type="dxa"/>
              <w:bottom w:w="80" w:type="dxa"/>
              <w:end w:w="120" w:type="dxa"/>
            </w:tcMar>
            <w:vAlign w:val="center"/>
          </w:tcPr>
          <w:p>
            <w:pPr>
              <w:spacing w:before="20" w:after="20" w:line="252" w:lineRule="auto"/>
            </w:pPr>
            <w:r>
              <w:rPr>
                <w:rFonts w:ascii="Calibri" w:hAnsi="Calibri"/>
                <w:color w:val="201B28"/>
                <w:sz w:val="18"/>
              </w:rPr>
              <w:t>Identity of firms or positions; AMC/GME-specific causation.</w:t>
            </w:r>
          </w:p>
        </w:tc>
      </w:tr>
      <w:tr>
        <w:tc>
          <w:tcPr>
            <w:tcW w:type="dxa" w:w="2088"/>
            <w:tcMar>
              <w:top w:w="80" w:type="dxa"/>
              <w:start w:w="120" w:type="dxa"/>
              <w:bottom w:w="80" w:type="dxa"/>
              <w:end w:w="120" w:type="dxa"/>
            </w:tcMar>
            <w:vAlign w:val="center"/>
          </w:tcPr>
          <w:p>
            <w:pPr>
              <w:spacing w:before="20" w:after="20" w:line="252" w:lineRule="auto"/>
            </w:pPr>
            <w:r>
              <w:rPr>
                <w:rFonts w:ascii="Calibri" w:hAnsi="Calibri"/>
                <w:color w:val="201B28"/>
                <w:sz w:val="18"/>
              </w:rPr>
              <w:t>AMC price record</w:t>
            </w:r>
          </w:p>
        </w:tc>
        <w:tc>
          <w:tcPr>
            <w:tcW w:type="dxa" w:w="3528"/>
            <w:tcMar>
              <w:top w:w="80" w:type="dxa"/>
              <w:start w:w="120" w:type="dxa"/>
              <w:bottom w:w="80" w:type="dxa"/>
              <w:end w:w="120" w:type="dxa"/>
            </w:tcMar>
            <w:vAlign w:val="center"/>
          </w:tcPr>
          <w:p>
            <w:pPr>
              <w:spacing w:before="20" w:after="20" w:line="252" w:lineRule="auto"/>
            </w:pPr>
            <w:r>
              <w:rPr>
                <w:rFonts w:ascii="Calibri" w:hAnsi="Calibri"/>
                <w:color w:val="201B28"/>
                <w:sz w:val="18"/>
              </w:rPr>
              <w:t>AMC fell from $72.62 in early June to $33.43 on July 14, 2021.</w:t>
            </w:r>
          </w:p>
        </w:tc>
        <w:tc>
          <w:tcPr>
            <w:tcW w:type="dxa" w:w="3744"/>
            <w:tcMar>
              <w:top w:w="80" w:type="dxa"/>
              <w:start w:w="120" w:type="dxa"/>
              <w:bottom w:w="80" w:type="dxa"/>
              <w:end w:w="120" w:type="dxa"/>
            </w:tcMar>
            <w:vAlign w:val="center"/>
          </w:tcPr>
          <w:p>
            <w:pPr>
              <w:spacing w:before="20" w:after="20" w:line="252" w:lineRule="auto"/>
            </w:pPr>
            <w:r>
              <w:rPr>
                <w:rFonts w:ascii="Calibri" w:hAnsi="Calibri"/>
                <w:color w:val="201B28"/>
                <w:sz w:val="18"/>
              </w:rPr>
              <w:t>The cause of the decline.</w:t>
            </w:r>
          </w:p>
        </w:tc>
      </w:tr>
    </w:tbl>
    <w:p>
      <w:pPr>
        <w:spacing w:before="80" w:after="0"/>
      </w:pPr>
    </w:p>
    <w:p>
      <w:pPr>
        <w:pStyle w:val="Heading1"/>
      </w:pPr>
      <w:r>
        <w:rPr>
          <w:rFonts w:ascii="Calibri" w:hAnsi="Calibri"/>
          <w:color w:val="A77D1D"/>
          <w:sz w:val="32"/>
        </w:rPr>
        <w:t>Missing records required to test the theory</w:t>
      </w:r>
    </w:p>
    <w:p>
      <w:pPr>
        <w:numPr>
          <w:ilvl w:val="0"/>
          <w:numId w:val="13"/>
        </w:numPr>
      </w:pPr>
      <w:r>
        <w:rPr>
          <w:rFonts w:ascii="Calibri" w:hAnsi="Calibri"/>
          <w:color w:val="201B28"/>
          <w:sz w:val="22"/>
        </w:rPr>
        <w:t>Instrument terms, issuance records and responsible legal entities, if any, behind the AMC-, APEAMC- and GME-labeled entries.</w:t>
      </w:r>
    </w:p>
    <w:p>
      <w:pPr>
        <w:numPr>
          <w:ilvl w:val="0"/>
          <w:numId w:val="13"/>
        </w:numPr>
      </w:pPr>
      <w:r>
        <w:rPr>
          <w:rFonts w:ascii="Calibri" w:hAnsi="Calibri"/>
          <w:color w:val="201B28"/>
          <w:sz w:val="22"/>
        </w:rPr>
        <w:t>Reserve, custody, wallet, mint/burn, redemption and reconciliation records.</w:t>
      </w:r>
    </w:p>
    <w:p>
      <w:pPr>
        <w:numPr>
          <w:ilvl w:val="0"/>
          <w:numId w:val="13"/>
        </w:numPr>
      </w:pPr>
      <w:r>
        <w:rPr>
          <w:rFonts w:ascii="Calibri" w:hAnsi="Calibri"/>
          <w:color w:val="201B28"/>
          <w:sz w:val="22"/>
        </w:rPr>
        <w:t>Broker-dealer, wholesaler, ATS, exchange and market-maker order-routing and execution records.</w:t>
      </w:r>
    </w:p>
    <w:p>
      <w:pPr>
        <w:numPr>
          <w:ilvl w:val="0"/>
          <w:numId w:val="13"/>
        </w:numPr>
      </w:pPr>
      <w:r>
        <w:rPr>
          <w:rFonts w:ascii="Calibri" w:hAnsi="Calibri"/>
          <w:color w:val="201B28"/>
          <w:sz w:val="22"/>
        </w:rPr>
        <w:t>Stock-loan, borrow, locate, collateral and settlement records.</w:t>
      </w:r>
    </w:p>
    <w:p>
      <w:pPr>
        <w:numPr>
          <w:ilvl w:val="0"/>
          <w:numId w:val="13"/>
        </w:numPr>
      </w:pPr>
      <w:r>
        <w:rPr>
          <w:rFonts w:ascii="Calibri" w:hAnsi="Calibri"/>
          <w:color w:val="201B28"/>
          <w:sz w:val="22"/>
        </w:rPr>
        <w:t>OCC clearing-member-level intraday positions, risk calculations, collateral movements, margin calls and responses for the relevant June 2021 dates.</w:t>
      </w:r>
    </w:p>
    <w:p>
      <w:pPr>
        <w:numPr>
          <w:ilvl w:val="0"/>
          <w:numId w:val="13"/>
        </w:numPr>
      </w:pPr>
      <w:r>
        <w:rPr>
          <w:rFonts w:ascii="Calibri" w:hAnsi="Calibri"/>
          <w:color w:val="201B28"/>
          <w:sz w:val="22"/>
        </w:rPr>
        <w:t>A timestamped linkage analysis capable of testing whether token, equity and options activity were actually connected.</w:t>
      </w:r>
    </w:p>
    <w:p>
      <w:pPr>
        <w:numPr>
          <w:ilvl w:val="0"/>
          <w:numId w:val="13"/>
        </w:numPr>
      </w:pPr>
      <w:r>
        <w:rPr>
          <w:rFonts w:ascii="Calibri" w:hAnsi="Calibri"/>
          <w:color w:val="201B28"/>
          <w:sz w:val="22"/>
        </w:rPr>
        <w:t>The judge-entered order, if any, corresponding to the unsigned proposed order filed as D.I. 31051-1.</w:t>
      </w:r>
    </w:p>
    <w:p>
      <w:pPr>
        <w:pStyle w:val="Heading1"/>
      </w:pPr>
      <w:r>
        <w:rPr>
          <w:rFonts w:ascii="Calibri" w:hAnsi="Calibri"/>
          <w:color w:val="A77D1D"/>
          <w:sz w:val="32"/>
        </w:rPr>
        <w:t>Bottom line</w:t>
      </w:r>
    </w:p>
    <w:p>
      <w:pPr/>
      <w:r>
        <w:rPr>
          <w:rFonts w:ascii="Calibri" w:hAnsi="Calibri"/>
          <w:color w:val="201B28"/>
          <w:sz w:val="22"/>
        </w:rPr>
        <w:t xml:space="preserve">The responsible conclusion is neither </w:t>
      </w:r>
      <w:r>
        <w:rPr>
          <w:rFonts w:ascii="Calibri" w:hAnsi="Calibri"/>
          <w:b/>
          <w:color w:val="201B28"/>
          <w:sz w:val="22"/>
        </w:rPr>
        <w:t>“nothing happened”</w:t>
      </w:r>
      <w:r>
        <w:rPr>
          <w:rFonts w:ascii="Calibri" w:hAnsi="Calibri"/>
          <w:color w:val="201B28"/>
          <w:sz w:val="22"/>
        </w:rPr>
        <w:t xml:space="preserve"> nor </w:t>
      </w:r>
      <w:r>
        <w:rPr>
          <w:rFonts w:ascii="Calibri" w:hAnsi="Calibri"/>
          <w:b/>
          <w:color w:val="201B28"/>
          <w:sz w:val="22"/>
        </w:rPr>
        <w:t>“these documents prove manipulation.”</w:t>
      </w:r>
      <w:r>
        <w:rPr>
          <w:rFonts w:ascii="Calibri" w:hAnsi="Calibri"/>
          <w:color w:val="201B28"/>
          <w:sz w:val="22"/>
        </w:rPr>
        <w:t xml:space="preserve"> The official record contains enough specific categories, ticker rows, claim-administration language and later risk-control findings to justify a targeted document hunt. The causal chain, however, remains incomplete.</w:t>
      </w:r>
    </w:p>
    <w:p>
      <w:pPr/>
      <w:r>
        <w:rPr>
          <w:rFonts w:ascii="Calibri" w:hAnsi="Calibri"/>
          <w:b/>
          <w:color w:val="201B28"/>
          <w:sz w:val="22"/>
        </w:rPr>
        <w:t>Read the documents. Follow the chain. Check the receipts.</w:t>
      </w:r>
    </w:p>
    <w:p>
      <w:pPr/>
      <w:r>
        <w:rPr>
          <w:rFonts w:ascii="Calibri" w:hAnsi="Calibri"/>
          <w:color w:val="201B28"/>
          <w:sz w:val="22"/>
        </w:rPr>
        <w:t>No price predictions. No manufactured hope. No final accusations without evidence.</w:t>
      </w:r>
    </w:p>
    <w:p>
      <w:pPr>
        <w:pStyle w:val="Heading1"/>
      </w:pPr>
      <w:r>
        <w:rPr>
          <w:rFonts w:ascii="Calibri" w:hAnsi="Calibri"/>
          <w:color w:val="A77D1D"/>
          <w:sz w:val="32"/>
        </w:rPr>
        <w:t>Source file</w:t>
      </w:r>
    </w:p>
    <w:p>
      <w:pPr>
        <w:numPr>
          <w:ilvl w:val="0"/>
          <w:numId w:val="14"/>
        </w:numPr>
      </w:pPr>
      <w:r>
        <w:rPr>
          <w:rFonts w:ascii="Calibri" w:hAnsi="Calibri"/>
          <w:b/>
          <w:color w:val="201B28"/>
          <w:sz w:val="22"/>
        </w:rPr>
        <w:t>FTX Support — Digital Asset Estimates</w:t>
      </w:r>
      <w:r>
        <w:rPr>
          <w:rFonts w:ascii="Calibri" w:hAnsi="Calibri"/>
          <w:color w:val="201B28"/>
          <w:sz w:val="22"/>
        </w:rPr>
        <w:t xml:space="preserve"> (updated March 25, 2024). Explains the court-approved claim-estimation process and links D.I. 7090 and the Digital Assets Conversion Table.</w:t>
      </w:r>
    </w:p>
    <w:p>
      <w:pPr/>
      <w:hyperlink r:id="rId12">
        <w:r>
          <w:rPr>
            <w:rFonts w:ascii="Calibri" w:hAnsi="Calibri"/>
            <w:color w:val="A77D1D"/>
            <w:u w:val="single"/>
          </w:rPr>
          <w:t>Open the FTX Support page</w:t>
        </w:r>
      </w:hyperlink>
    </w:p>
    <w:p>
      <w:pPr>
        <w:numPr>
          <w:ilvl w:val="0"/>
          <w:numId w:val="14"/>
        </w:numPr>
      </w:pPr>
      <w:r>
        <w:rPr>
          <w:rFonts w:ascii="Calibri" w:hAnsi="Calibri"/>
          <w:b/>
          <w:color w:val="201B28"/>
          <w:sz w:val="22"/>
        </w:rPr>
        <w:t>In re FTX Trading Ltd., Case No. 22-11068, D.I. 7090 and 7090-1</w:t>
      </w:r>
      <w:r>
        <w:rPr>
          <w:rFonts w:ascii="Calibri" w:hAnsi="Calibri"/>
          <w:color w:val="201B28"/>
          <w:sz w:val="22"/>
        </w:rPr>
        <w:t xml:space="preserve"> — Order Granting Motion of Debtors to Estimate Claims Based on Digital Assets and Exhibit 1, Digital Assets Conversion Table (filed February 7, 2024). Official Kroll download linked by FTX Support.</w:t>
      </w:r>
    </w:p>
    <w:p>
      <w:pPr/>
      <w:hyperlink r:id="rId13">
        <w:r>
          <w:rPr>
            <w:rFonts w:ascii="Calibri" w:hAnsi="Calibri"/>
            <w:color w:val="A77D1D"/>
            <w:u w:val="single"/>
          </w:rPr>
          <w:t>Open D.I. 7090 and the conversion table</w:t>
        </w:r>
      </w:hyperlink>
    </w:p>
    <w:p>
      <w:pPr>
        <w:numPr>
          <w:ilvl w:val="0"/>
          <w:numId w:val="14"/>
        </w:numPr>
      </w:pPr>
      <w:r>
        <w:rPr>
          <w:rFonts w:ascii="Calibri" w:hAnsi="Calibri"/>
          <w:b/>
          <w:color w:val="201B28"/>
          <w:sz w:val="22"/>
        </w:rPr>
        <w:t>PwC / FTX Digital Markets — Summons for Reapproval of Estimation Methodology.</w:t>
      </w:r>
      <w:r>
        <w:rPr>
          <w:rFonts w:ascii="Calibri" w:hAnsi="Calibri"/>
          <w:color w:val="201B28"/>
          <w:sz w:val="22"/>
        </w:rPr>
        <w:t xml:space="preserve"> This is a summons requesting approval of an estimation methodology, not itself an approval order; it is included as the supplementary copy used in the broadcast.</w:t>
      </w:r>
    </w:p>
    <w:p>
      <w:pPr/>
      <w:hyperlink r:id="rId14">
        <w:r>
          <w:rPr>
            <w:rFonts w:ascii="Calibri" w:hAnsi="Calibri"/>
            <w:color w:val="A77D1D"/>
            <w:u w:val="single"/>
          </w:rPr>
          <w:t>Open the PwC summons</w:t>
        </w:r>
      </w:hyperlink>
    </w:p>
    <w:p>
      <w:pPr>
        <w:numPr>
          <w:ilvl w:val="0"/>
          <w:numId w:val="14"/>
        </w:numPr>
      </w:pPr>
      <w:r>
        <w:rPr>
          <w:rFonts w:ascii="Calibri" w:hAnsi="Calibri"/>
          <w:b/>
          <w:color w:val="201B28"/>
          <w:sz w:val="22"/>
        </w:rPr>
        <w:t>In re FTX Trading Ltd., Case No. 22-11068 (KBO), D.I. 31051-1</w:t>
      </w:r>
      <w:r>
        <w:rPr>
          <w:rFonts w:ascii="Calibri" w:hAnsi="Calibri"/>
          <w:color w:val="201B28"/>
          <w:sz w:val="22"/>
        </w:rPr>
        <w:t xml:space="preserve"> — proposed order, Exhibit A, filed June 26, 2025, especially pages 3–4 and 7–8. On the official docket, search </w:t>
      </w:r>
      <w:r>
        <w:rPr>
          <w:rFonts w:ascii="Calibri" w:hAnsi="Calibri"/>
          <w:b/>
          <w:color w:val="201B28"/>
          <w:sz w:val="22"/>
        </w:rPr>
        <w:t>31051</w:t>
      </w:r>
      <w:r>
        <w:rPr>
          <w:rFonts w:ascii="Calibri" w:hAnsi="Calibri"/>
          <w:color w:val="201B28"/>
          <w:sz w:val="22"/>
        </w:rPr>
        <w:t xml:space="preserve"> and open Attachment 1.</w:t>
      </w:r>
    </w:p>
    <w:p>
      <w:pPr/>
      <w:hyperlink r:id="rId15">
        <w:r>
          <w:rPr>
            <w:rFonts w:ascii="Calibri" w:hAnsi="Calibri"/>
            <w:color w:val="A77D1D"/>
            <w:u w:val="single"/>
          </w:rPr>
          <w:t>Open the official FTX docket</w:t>
        </w:r>
      </w:hyperlink>
    </w:p>
    <w:p>
      <w:pPr>
        <w:numPr>
          <w:ilvl w:val="0"/>
          <w:numId w:val="14"/>
        </w:numPr>
      </w:pPr>
      <w:r>
        <w:rPr>
          <w:rFonts w:ascii="Calibri" w:hAnsi="Calibri"/>
          <w:b/>
          <w:color w:val="201B28"/>
          <w:sz w:val="22"/>
        </w:rPr>
        <w:t>OCC Information Memo 55123 — Intraday Risk Monitoring</w:t>
      </w:r>
      <w:r>
        <w:rPr>
          <w:rFonts w:ascii="Calibri" w:hAnsi="Calibri"/>
          <w:color w:val="201B28"/>
          <w:sz w:val="22"/>
        </w:rPr>
        <w:t xml:space="preserve"> (August 30, 2024).</w:t>
      </w:r>
    </w:p>
    <w:p>
      <w:pPr/>
      <w:hyperlink r:id="rId16">
        <w:r>
          <w:rPr>
            <w:rFonts w:ascii="Calibri" w:hAnsi="Calibri"/>
            <w:color w:val="A77D1D"/>
            <w:u w:val="single"/>
          </w:rPr>
          <w:t>Open OCC Information Memo 55123</w:t>
        </w:r>
      </w:hyperlink>
    </w:p>
    <w:p>
      <w:pPr>
        <w:numPr>
          <w:ilvl w:val="0"/>
          <w:numId w:val="14"/>
        </w:numPr>
      </w:pPr>
      <w:r>
        <w:rPr>
          <w:rFonts w:ascii="Calibri" w:hAnsi="Calibri"/>
          <w:b/>
          <w:color w:val="201B28"/>
          <w:sz w:val="22"/>
        </w:rPr>
        <w:t>SEC Release No. 34-100664 / SR-OCC-2024-010</w:t>
      </w:r>
      <w:r>
        <w:rPr>
          <w:rFonts w:ascii="Calibri" w:hAnsi="Calibri"/>
          <w:color w:val="201B28"/>
          <w:sz w:val="22"/>
        </w:rPr>
        <w:t xml:space="preserve"> — original proposal notice (August 6, 2024; 89 FR 65695).</w:t>
      </w:r>
    </w:p>
    <w:p>
      <w:pPr/>
      <w:hyperlink r:id="rId17">
        <w:r>
          <w:rPr>
            <w:rFonts w:ascii="Calibri" w:hAnsi="Calibri"/>
            <w:color w:val="A77D1D"/>
            <w:u w:val="single"/>
          </w:rPr>
          <w:t>Open the SEC proposal PDF</w:t>
        </w:r>
      </w:hyperlink>
    </w:p>
    <w:p>
      <w:pPr>
        <w:numPr>
          <w:ilvl w:val="0"/>
          <w:numId w:val="14"/>
        </w:numPr>
      </w:pPr>
      <w:r>
        <w:rPr>
          <w:rFonts w:ascii="Calibri" w:hAnsi="Calibri"/>
          <w:b/>
          <w:color w:val="201B28"/>
          <w:sz w:val="22"/>
        </w:rPr>
        <w:t>SEC Release No. 34-102768 / SR-OCC-2024-010</w:t>
      </w:r>
      <w:r>
        <w:rPr>
          <w:rFonts w:ascii="Calibri" w:hAnsi="Calibri"/>
          <w:color w:val="201B28"/>
          <w:sz w:val="22"/>
        </w:rPr>
        <w:t xml:space="preserve"> — order granting approval (April 3, 2025; 90 FR 15274).</w:t>
      </w:r>
    </w:p>
    <w:p>
      <w:pPr/>
      <w:hyperlink r:id="rId18">
        <w:r>
          <w:rPr>
            <w:rFonts w:ascii="Calibri" w:hAnsi="Calibri"/>
            <w:color w:val="A77D1D"/>
            <w:u w:val="single"/>
          </w:rPr>
          <w:t>Open the SEC approval PDF</w:t>
        </w:r>
      </w:hyperlink>
    </w:p>
    <w:p>
      <w:pPr>
        <w:numPr>
          <w:ilvl w:val="0"/>
          <w:numId w:val="14"/>
        </w:numPr>
      </w:pPr>
      <w:r>
        <w:rPr>
          <w:rFonts w:ascii="Calibri" w:hAnsi="Calibri"/>
          <w:b/>
          <w:color w:val="201B28"/>
          <w:sz w:val="22"/>
        </w:rPr>
        <w:t>Federal Register — final SEC approval</w:t>
      </w:r>
      <w:r>
        <w:rPr>
          <w:rFonts w:ascii="Calibri" w:hAnsi="Calibri"/>
          <w:color w:val="201B28"/>
          <w:sz w:val="22"/>
        </w:rPr>
        <w:t xml:space="preserve"> (published April 9, 2025).</w:t>
      </w:r>
    </w:p>
    <w:p>
      <w:pPr/>
      <w:hyperlink r:id="rId19">
        <w:r>
          <w:rPr>
            <w:rFonts w:ascii="Calibri" w:hAnsi="Calibri"/>
            <w:color w:val="A77D1D"/>
            <w:u w:val="single"/>
          </w:rPr>
          <w:t>Open the Federal Register approval</w:t>
        </w:r>
      </w:hyperlink>
    </w:p>
    <w:p>
      <w:pPr>
        <w:numPr>
          <w:ilvl w:val="0"/>
          <w:numId w:val="14"/>
        </w:numPr>
      </w:pPr>
      <w:r>
        <w:rPr>
          <w:rFonts w:ascii="Calibri" w:hAnsi="Calibri"/>
          <w:b/>
          <w:color w:val="201B28"/>
          <w:sz w:val="22"/>
        </w:rPr>
        <w:t>Reuters — AMC, GameStop shares fall to half of their June peaks</w:t>
      </w:r>
      <w:r>
        <w:rPr>
          <w:rFonts w:ascii="Calibri" w:hAnsi="Calibri"/>
          <w:color w:val="201B28"/>
          <w:sz w:val="22"/>
        </w:rPr>
        <w:t xml:space="preserve"> (July 14, 2021).</w:t>
      </w:r>
    </w:p>
    <w:p>
      <w:pPr/>
      <w:hyperlink r:id="rId20">
        <w:r>
          <w:rPr>
            <w:rFonts w:ascii="Calibri" w:hAnsi="Calibri"/>
            <w:color w:val="A77D1D"/>
            <w:u w:val="single"/>
          </w:rPr>
          <w:t>Open the Reuters report</w:t>
        </w:r>
      </w:hyperlink>
    </w:p>
    <w:p>
      <w:pPr>
        <w:pStyle w:val="Heading1"/>
      </w:pPr>
      <w:r>
        <w:rPr>
          <w:rFonts w:ascii="Calibri" w:hAnsi="Calibri"/>
          <w:color w:val="A77D1D"/>
          <w:sz w:val="32"/>
        </w:rPr>
        <w:t>Research and publication notice</w:t>
      </w:r>
    </w:p>
    <w:p>
      <w:pPr/>
      <w:r>
        <w:rPr>
          <w:rFonts w:ascii="Calibri" w:hAnsi="Calibri"/>
          <w:color w:val="201B28"/>
          <w:sz w:val="22"/>
        </w:rPr>
        <w:t>This page contains published findings only. Active investigations and unfinished research remain private until they have been reviewed, sourced and approved for release.</w:t>
      </w:r>
    </w:p>
    <w:p>
      <w:pPr/>
      <w:r>
        <w:rPr>
          <w:rFonts w:ascii="Calibri" w:hAnsi="Calibri"/>
          <w:color w:val="201B28"/>
          <w:sz w:val="22"/>
        </w:rPr>
        <w:t>Research and analysis: James Allen / Security James and Crazy Angry Matt. Publication text and presentation © 2026 James Allen / The AMC Ape Cage. Public-source documents remain credited to their original issuers. Sharing is welcome with clear attribution and a direct link to the original AMC Ape Cage publication. Removing attribution or presenting this work as someone else's original research is not acceptable.</w:t>
      </w:r>
    </w:p>
    <w:p>
      <w:pPr/>
      <w:r>
        <w:rPr>
          <w:rFonts w:ascii="Calibri" w:hAnsi="Calibri"/>
          <w:color w:val="201B28"/>
          <w:sz w:val="22"/>
        </w:rPr>
        <w:t>This material is documentary commentary and education, not investment, legal or tax advice.</w:t>
      </w:r>
    </w:p>
    <w:p>
      <w:r>
        <w:br w:type="page"/>
      </w:r>
    </w:p>
    <w:p>
      <w:pPr>
        <w:spacing w:after="80"/>
      </w:pPr>
      <w:r>
        <w:rPr>
          <w:rFonts w:ascii="Calibri" w:hAnsi="Calibri"/>
          <w:b/>
          <w:color w:val="201B28"/>
          <w:sz w:val="48"/>
        </w:rPr>
        <w:t>WEBSITE COPY BLOCKS</w:t>
      </w:r>
    </w:p>
    <w:p>
      <w:pPr>
        <w:spacing w:after="280"/>
        <w:pBdr>
          <w:bottom w:val="single" w:sz="10" w:space="6" w:color="D6B25E"/>
        </w:pBdr>
      </w:pPr>
      <w:r>
        <w:rPr>
          <w:rFonts w:ascii="Calibri" w:hAnsi="Calibri"/>
          <w:b/>
          <w:color w:val="5F5968"/>
          <w:sz w:val="25"/>
        </w:rPr>
        <w:t>Paste-ready sections for separate Streamlabs Text components</w:t>
      </w:r>
    </w:p>
    <w:p>
      <w:pPr>
        <w:pStyle w:val="WebsiteBlock"/>
        <w:ind w:left="173" w:right="115"/>
      </w:pPr>
      <w:r>
        <w:rPr>
          <w:rFonts w:ascii="Calibri" w:hAnsi="Calibri"/>
          <w:color w:val="201B28"/>
          <w:sz w:val="21"/>
        </w:rPr>
        <w:t xml:space="preserve">Use each numbered block in a separate Streamlabs Text component so the Evidence Desk remains readable on phones. Use these component names: </w:t>
      </w:r>
      <w:r>
        <w:rPr>
          <w:rFonts w:ascii="Calibri" w:hAnsi="Calibri"/>
          <w:b/>
          <w:color w:val="201B28"/>
          <w:sz w:val="21"/>
        </w:rPr>
        <w:t>CF001 — Overview; CF001 — Receipt 1: FTX Table; CF001 — Receipt 2: Claim Math; CF001 — Receipt 3: OCC Risk; CF001 — Finding; CF001 — Source Documents; CF001 — Research Notice.</w:t>
      </w:r>
    </w:p>
    <w:p>
      <w:pPr>
        <w:spacing w:before="80" w:after="120"/>
        <w:shd w:fill="F7F0DD"/>
        <w:pBdr>
          <w:left w:val="single" w:sz="18" w:space="8" w:color="D6B25E"/>
        </w:pBdr>
      </w:pPr>
      <w:r>
        <w:rPr>
          <w:rFonts w:ascii="Calibri" w:hAnsi="Calibri"/>
          <w:b/>
          <w:color w:val="A77D1D"/>
          <w:sz w:val="19"/>
        </w:rPr>
        <w:t>BLOCK 1 — CASE HEADER</w:t>
      </w:r>
    </w:p>
    <w:p>
      <w:pPr>
        <w:pStyle w:val="WebsiteBlock"/>
        <w:ind w:left="173" w:right="115"/>
      </w:pPr>
      <w:r>
        <w:rPr>
          <w:rFonts w:ascii="Calibri" w:hAnsi="Calibri"/>
          <w:color w:val="201B28"/>
          <w:sz w:val="21"/>
        </w:rPr>
        <w:t>CASE FILE 001</w:t>
      </w:r>
    </w:p>
    <w:p>
      <w:pPr>
        <w:pStyle w:val="WebsiteBlock"/>
        <w:ind w:left="173" w:right="115"/>
      </w:pPr>
      <w:r>
        <w:rPr>
          <w:rFonts w:ascii="Calibri" w:hAnsi="Calibri"/>
          <w:color w:val="201B28"/>
          <w:sz w:val="21"/>
        </w:rPr>
        <w:t>DUMB MONEY FOUND THE RECEIPTS</w:t>
      </w:r>
    </w:p>
    <w:p>
      <w:pPr>
        <w:pStyle w:val="WebsiteBlock"/>
        <w:ind w:left="173" w:right="115"/>
      </w:pPr>
      <w:r>
        <w:rPr>
          <w:rFonts w:ascii="Calibri" w:hAnsi="Calibri"/>
          <w:color w:val="201B28"/>
          <w:sz w:val="21"/>
        </w:rPr>
        <w:t>FTX bankruptcy-table AMC/GME labels, bankruptcy claim math and OCC intraday risk</w:t>
      </w:r>
    </w:p>
    <w:p>
      <w:pPr>
        <w:pStyle w:val="WebsiteBlock"/>
        <w:ind w:left="173" w:right="115"/>
      </w:pPr>
      <w:r>
        <w:rPr>
          <w:rFonts w:ascii="Calibri" w:hAnsi="Calibri"/>
          <w:color w:val="201B28"/>
          <w:sz w:val="21"/>
        </w:rPr>
        <w:t>STATUS: Published findings. Investigation remains open.</w:t>
      </w:r>
    </w:p>
    <w:p>
      <w:pPr>
        <w:pStyle w:val="WebsiteBlock"/>
        <w:ind w:left="173" w:right="115"/>
      </w:pPr>
      <w:r>
        <w:rPr>
          <w:rFonts w:ascii="Calibri" w:hAnsi="Calibri"/>
          <w:color w:val="201B28"/>
          <w:sz w:val="21"/>
        </w:rPr>
        <w:t>This is not a final accusation. It is a source-linked record of what the reviewed documents establish, what they do not establish and what records are still missing.</w:t>
      </w:r>
    </w:p>
    <w:p>
      <w:pPr>
        <w:pStyle w:val="WebsiteBlock"/>
        <w:ind w:left="173" w:right="115"/>
      </w:pPr>
      <w:r>
        <w:rPr>
          <w:rFonts w:ascii="Calibri" w:hAnsi="Calibri"/>
          <w:color w:val="201B28"/>
          <w:sz w:val="21"/>
        </w:rPr>
        <w:t>Research and analysis: James Allen / Security James and Crazy Angry Matt</w:t>
      </w:r>
    </w:p>
    <w:p>
      <w:pPr>
        <w:pStyle w:val="WebsiteBlock"/>
        <w:ind w:left="173" w:right="115"/>
      </w:pPr>
      <w:r>
        <w:rPr>
          <w:rFonts w:ascii="Calibri" w:hAnsi="Calibri"/>
          <w:color w:val="201B28"/>
          <w:sz w:val="21"/>
        </w:rPr>
        <w:t xml:space="preserve">Related episode: </w:t>
      </w:r>
      <w:hyperlink r:id="rId11">
        <w:r>
          <w:rPr>
            <w:rFonts w:ascii="Calibri" w:hAnsi="Calibri"/>
            <w:color w:val="A77D1D"/>
            <w:u w:val="single"/>
          </w:rPr>
          <w:t>Watch the broadcast</w:t>
        </w:r>
      </w:hyperlink>
    </w:p>
    <w:p>
      <w:pPr>
        <w:spacing w:before="80" w:after="120"/>
        <w:shd w:fill="F7F0DD"/>
        <w:pBdr>
          <w:left w:val="single" w:sz="18" w:space="8" w:color="D6B25E"/>
        </w:pBdr>
      </w:pPr>
      <w:r>
        <w:rPr>
          <w:rFonts w:ascii="Calibri" w:hAnsi="Calibri"/>
          <w:b/>
          <w:color w:val="A77D1D"/>
          <w:sz w:val="19"/>
        </w:rPr>
        <w:t>BLOCK 2 — RECEIPT 1</w:t>
      </w:r>
    </w:p>
    <w:p>
      <w:pPr>
        <w:pStyle w:val="WebsiteBlock"/>
        <w:ind w:left="173" w:right="115"/>
      </w:pPr>
      <w:r>
        <w:rPr>
          <w:rFonts w:ascii="Calibri" w:hAnsi="Calibri"/>
          <w:color w:val="201B28"/>
          <w:sz w:val="21"/>
        </w:rPr>
        <w:t>RECEIPT 1 — FTX CLAIM-ESTIMATION TABLE</w:t>
      </w:r>
    </w:p>
    <w:p>
      <w:pPr>
        <w:pStyle w:val="WebsiteBlock"/>
        <w:ind w:left="173" w:right="115"/>
      </w:pPr>
      <w:r>
        <w:rPr>
          <w:rFonts w:ascii="Calibri" w:hAnsi="Calibri"/>
          <w:color w:val="201B28"/>
          <w:sz w:val="21"/>
        </w:rPr>
        <w:t>A court-approved FTX bankruptcy table placed these labels under the headings Tokenized Stocks and Futures:</w:t>
      </w:r>
    </w:p>
    <w:p>
      <w:pPr>
        <w:pStyle w:val="WebsiteBlock"/>
        <w:ind w:left="173" w:right="115"/>
      </w:pPr>
      <w:r>
        <w:rPr>
          <w:rFonts w:ascii="Calibri" w:hAnsi="Calibri"/>
          <w:color w:val="201B28"/>
          <w:sz w:val="21"/>
        </w:rPr>
        <w:t>AMC — Tokenized Stocks, row 773</w:t>
      </w:r>
    </w:p>
    <w:p>
      <w:pPr>
        <w:pStyle w:val="WebsiteBlock"/>
        <w:ind w:left="173" w:right="115"/>
      </w:pPr>
      <w:r>
        <w:rPr>
          <w:rFonts w:ascii="Calibri" w:hAnsi="Calibri"/>
          <w:color w:val="201B28"/>
          <w:sz w:val="21"/>
        </w:rPr>
        <w:t>APEAMC — Tokenized Stocks, row 777</w:t>
      </w:r>
    </w:p>
    <w:p>
      <w:pPr>
        <w:pStyle w:val="WebsiteBlock"/>
        <w:ind w:left="173" w:right="115"/>
      </w:pPr>
      <w:r>
        <w:rPr>
          <w:rFonts w:ascii="Calibri" w:hAnsi="Calibri"/>
          <w:color w:val="201B28"/>
          <w:sz w:val="21"/>
        </w:rPr>
        <w:t>GME — Tokenized Stocks, row 799</w:t>
      </w:r>
    </w:p>
    <w:p>
      <w:pPr>
        <w:pStyle w:val="WebsiteBlock"/>
        <w:ind w:left="173" w:right="115"/>
      </w:pPr>
      <w:r>
        <w:rPr>
          <w:rFonts w:ascii="Calibri" w:hAnsi="Calibri"/>
          <w:color w:val="201B28"/>
          <w:sz w:val="21"/>
        </w:rPr>
        <w:t>AMC-1230 — Futures, row 1044</w:t>
      </w:r>
    </w:p>
    <w:p>
      <w:pPr>
        <w:pStyle w:val="WebsiteBlock"/>
        <w:ind w:left="173" w:right="115"/>
      </w:pPr>
      <w:r>
        <w:rPr>
          <w:rFonts w:ascii="Calibri" w:hAnsi="Calibri"/>
          <w:color w:val="201B28"/>
          <w:sz w:val="21"/>
        </w:rPr>
        <w:t>GME-1230 — Futures, row 1162</w:t>
      </w:r>
    </w:p>
    <w:p>
      <w:pPr>
        <w:pStyle w:val="WebsiteBlock"/>
        <w:ind w:left="173" w:right="115"/>
      </w:pPr>
      <w:r>
        <w:rPr>
          <w:rFonts w:ascii="Calibri" w:hAnsi="Calibri"/>
          <w:b/>
          <w:color w:val="A77D1D"/>
          <w:sz w:val="21"/>
        </w:rPr>
        <w:t>CONFIRMED: These labels and headings appeared in a court-approved claim-estimation table. The figures were November 11, 2022 bankruptcy conversion values—not current prices or reserve values.</w:t>
      </w:r>
    </w:p>
    <w:p>
      <w:pPr>
        <w:pStyle w:val="WebsiteBlock"/>
        <w:ind w:left="173" w:right="115"/>
      </w:pPr>
      <w:r>
        <w:rPr>
          <w:rFonts w:ascii="Calibri" w:hAnsi="Calibri"/>
          <w:b/>
          <w:color w:val="A77D1D"/>
          <w:sz w:val="21"/>
        </w:rPr>
        <w:t>NOT CONFIRMED: Quantity, one-for-one share backing, custody, redemption, lending, collateral use or market-price impact.</w:t>
      </w:r>
    </w:p>
    <w:p>
      <w:pPr>
        <w:pStyle w:val="WebsiteBlock"/>
        <w:ind w:left="173" w:right="115"/>
      </w:pPr>
      <w:r>
        <w:rPr>
          <w:rFonts w:ascii="Calibri" w:hAnsi="Calibri"/>
          <w:b/>
          <w:color w:val="A77D1D"/>
          <w:sz w:val="21"/>
        </w:rPr>
        <w:t>OPEN QUESTION: Where are the issuance, reserve, custody, wallet and redemption records?</w:t>
      </w:r>
    </w:p>
    <w:p>
      <w:r>
        <w:br w:type="page"/>
      </w:r>
    </w:p>
    <w:p>
      <w:pPr>
        <w:spacing w:before="80" w:after="120"/>
        <w:shd w:fill="F7F0DD"/>
        <w:pBdr>
          <w:left w:val="single" w:sz="18" w:space="8" w:color="D6B25E"/>
        </w:pBdr>
      </w:pPr>
      <w:r>
        <w:rPr>
          <w:rFonts w:ascii="Calibri" w:hAnsi="Calibri"/>
          <w:b/>
          <w:color w:val="A77D1D"/>
          <w:sz w:val="19"/>
        </w:rPr>
        <w:t>BLOCK 3 — RECEIPT 2</w:t>
      </w:r>
    </w:p>
    <w:p>
      <w:pPr>
        <w:pStyle w:val="WebsiteBlock"/>
        <w:ind w:left="173" w:right="115"/>
      </w:pPr>
      <w:r>
        <w:rPr>
          <w:rFonts w:ascii="Calibri" w:hAnsi="Calibri"/>
          <w:color w:val="201B28"/>
          <w:sz w:val="21"/>
        </w:rPr>
        <w:t>RECEIPT 2 — WHEN BROADER ALLEGATIONS BECOME CLAIM MATH</w:t>
      </w:r>
    </w:p>
    <w:p>
      <w:pPr>
        <w:pStyle w:val="WebsiteBlock"/>
        <w:ind w:left="173" w:right="115"/>
      </w:pPr>
      <w:r>
        <w:rPr>
          <w:rFonts w:ascii="Calibri" w:hAnsi="Calibri"/>
          <w:color w:val="201B28"/>
          <w:sz w:val="21"/>
        </w:rPr>
        <w:t>FTX D.I. 31051-1 is an unsigned proposed-order exhibit—not a verified entered order. Filed June 26, 2025, it describes modifying specified claims to match the Debtors' books and records and reducing certain generalized claim components under the confirmed plan and Global Settlement.</w:t>
      </w:r>
    </w:p>
    <w:p>
      <w:pPr>
        <w:pStyle w:val="WebsiteBlock"/>
        <w:ind w:left="173" w:right="115"/>
      </w:pPr>
      <w:r>
        <w:rPr>
          <w:rFonts w:ascii="Calibri" w:hAnsi="Calibri"/>
          <w:b/>
          <w:color w:val="A77D1D"/>
          <w:sz w:val="21"/>
        </w:rPr>
        <w:t>CONFIRMED: The filed exhibit documents the Trust's proposed claim-treatment mechanism and broad non-admission protections.</w:t>
      </w:r>
    </w:p>
    <w:p>
      <w:pPr>
        <w:pStyle w:val="WebsiteBlock"/>
        <w:ind w:left="173" w:right="115"/>
      </w:pPr>
      <w:r>
        <w:rPr>
          <w:rFonts w:ascii="Calibri" w:hAnsi="Calibri"/>
          <w:b/>
          <w:color w:val="A77D1D"/>
          <w:sz w:val="21"/>
        </w:rPr>
        <w:t>NOT CONFIRMED: That every underlying allegation was true or false; that this specific proposed order was entered; or that the process proves AMC/GME token misuse or market causation.</w:t>
      </w:r>
    </w:p>
    <w:p>
      <w:pPr>
        <w:pStyle w:val="WebsiteBlock"/>
        <w:ind w:left="173" w:right="115"/>
      </w:pPr>
      <w:r>
        <w:rPr>
          <w:rFonts w:ascii="Calibri" w:hAnsi="Calibri"/>
          <w:b/>
          <w:color w:val="A77D1D"/>
          <w:sz w:val="21"/>
        </w:rPr>
        <w:t>OPEN QUESTION: What source-level records supported the books-and-records balances, and where is the corresponding entered order?</w:t>
      </w:r>
    </w:p>
    <w:p>
      <w:pPr>
        <w:spacing w:before="80" w:after="120"/>
        <w:shd w:fill="F7F0DD"/>
        <w:pBdr>
          <w:left w:val="single" w:sz="18" w:space="8" w:color="D6B25E"/>
        </w:pBdr>
      </w:pPr>
      <w:r>
        <w:rPr>
          <w:rFonts w:ascii="Calibri" w:hAnsi="Calibri"/>
          <w:b/>
          <w:color w:val="A77D1D"/>
          <w:sz w:val="19"/>
        </w:rPr>
        <w:t>BLOCK 4 — RECEIPT 3</w:t>
      </w:r>
    </w:p>
    <w:p>
      <w:pPr>
        <w:pStyle w:val="WebsiteBlock"/>
        <w:ind w:left="173" w:right="115"/>
      </w:pPr>
      <w:r>
        <w:rPr>
          <w:rFonts w:ascii="Calibri" w:hAnsi="Calibri"/>
          <w:color w:val="201B28"/>
          <w:sz w:val="21"/>
        </w:rPr>
        <w:t>RECEIPT 3 — OCC INTRADAY RISK</w:t>
      </w:r>
    </w:p>
    <w:p>
      <w:pPr>
        <w:pStyle w:val="WebsiteBlock"/>
        <w:ind w:left="173" w:right="115"/>
      </w:pPr>
      <w:r>
        <w:rPr>
          <w:rFonts w:ascii="Calibri" w:hAnsi="Calibri"/>
          <w:color w:val="201B28"/>
          <w:sz w:val="21"/>
        </w:rPr>
        <w:t>OCC and SEC records state that the prior framework captured intraday price changes but did not fully capture intraday position changes. Positions closed, exercised or expired before the end of the day could be absent from the closing position set.</w:t>
      </w:r>
    </w:p>
    <w:p>
      <w:pPr>
        <w:pStyle w:val="WebsiteBlock"/>
        <w:ind w:left="173" w:right="115"/>
      </w:pPr>
      <w:r>
        <w:rPr>
          <w:rFonts w:ascii="Calibri" w:hAnsi="Calibri"/>
          <w:color w:val="201B28"/>
          <w:sz w:val="21"/>
        </w:rPr>
        <w:t>The approved charge generally uses verified peak increases from 20-minute snapshots between 11:00 a.m. and 12:30 p.m. Central over the preceding month.</w:t>
      </w:r>
    </w:p>
    <w:p>
      <w:pPr>
        <w:pStyle w:val="WebsiteBlock"/>
        <w:ind w:left="173" w:right="115"/>
      </w:pPr>
      <w:r>
        <w:rPr>
          <w:rFonts w:ascii="Calibri" w:hAnsi="Calibri"/>
          <w:b/>
          <w:color w:val="A77D1D"/>
          <w:sz w:val="21"/>
        </w:rPr>
        <w:t>CONFIRMED: OCC and the SEC documented a limitation in the prior margining and intraday-monitoring framework and adopted a new control.</w:t>
      </w:r>
    </w:p>
    <w:p>
      <w:pPr>
        <w:pStyle w:val="WebsiteBlock"/>
        <w:ind w:left="173" w:right="115"/>
      </w:pPr>
      <w:r>
        <w:rPr>
          <w:rFonts w:ascii="Calibri" w:hAnsi="Calibri"/>
          <w:b/>
          <w:color w:val="A77D1D"/>
          <w:sz w:val="21"/>
        </w:rPr>
        <w:t>NOT CONFIRMED: The identities of affected firms, any AMC/GME-specific account or position, or causation for AMC's June 2021 trading event.</w:t>
      </w:r>
    </w:p>
    <w:p>
      <w:pPr>
        <w:pStyle w:val="WebsiteBlock"/>
        <w:ind w:left="173" w:right="115"/>
      </w:pPr>
      <w:r>
        <w:rPr>
          <w:rFonts w:ascii="Calibri" w:hAnsi="Calibri"/>
          <w:b/>
          <w:color w:val="A77D1D"/>
          <w:sz w:val="21"/>
        </w:rPr>
        <w:t>OPEN QUESTION: What do clearing-member-level June 2021 positions, margin calls, collateral movements and responses show?</w:t>
      </w:r>
    </w:p>
    <w:p>
      <w:r>
        <w:br w:type="page"/>
      </w:r>
    </w:p>
    <w:p>
      <w:pPr>
        <w:spacing w:before="80" w:after="120"/>
        <w:shd w:fill="F7F0DD"/>
        <w:pBdr>
          <w:left w:val="single" w:sz="18" w:space="8" w:color="D6B25E"/>
        </w:pBdr>
      </w:pPr>
      <w:r>
        <w:rPr>
          <w:rFonts w:ascii="Calibri" w:hAnsi="Calibri"/>
          <w:b/>
          <w:color w:val="A77D1D"/>
          <w:sz w:val="19"/>
        </w:rPr>
        <w:t>BLOCK 5 — PRICE RECORD AND BOTTOM LINE</w:t>
      </w:r>
    </w:p>
    <w:p>
      <w:pPr>
        <w:pStyle w:val="WebsiteBlock"/>
        <w:ind w:left="173" w:right="115"/>
      </w:pPr>
      <w:r>
        <w:rPr>
          <w:rFonts w:ascii="Calibri" w:hAnsi="Calibri"/>
          <w:color w:val="201B28"/>
          <w:sz w:val="21"/>
        </w:rPr>
        <w:t>THE PRICE RECORD IS A TRIGGER, NOT A VERDICT</w:t>
      </w:r>
    </w:p>
    <w:p>
      <w:pPr>
        <w:pStyle w:val="WebsiteBlock"/>
        <w:ind w:left="173" w:right="115"/>
      </w:pPr>
      <w:r>
        <w:rPr>
          <w:rFonts w:ascii="Calibri" w:hAnsi="Calibri"/>
          <w:color w:val="201B28"/>
          <w:sz w:val="21"/>
        </w:rPr>
        <w:t>Reuters reported that AMC closed at $33.43 on July 14, 2021—about 54% below its early-June high of $72.62.</w:t>
      </w:r>
    </w:p>
    <w:p>
      <w:pPr>
        <w:pStyle w:val="WebsiteBlock"/>
        <w:ind w:left="173" w:right="115"/>
      </w:pPr>
      <w:r>
        <w:rPr>
          <w:rFonts w:ascii="Calibri" w:hAnsi="Calibri"/>
          <w:color w:val="201B28"/>
          <w:sz w:val="21"/>
        </w:rPr>
        <w:t>That decline is worthy of forensic review. It does not prove tokenized abuse, clearing misconduct or a particular actor.</w:t>
      </w:r>
    </w:p>
    <w:p>
      <w:pPr>
        <w:pStyle w:val="WebsiteBlock"/>
        <w:ind w:left="173" w:right="115"/>
      </w:pPr>
      <w:r>
        <w:rPr>
          <w:rFonts w:ascii="Calibri" w:hAnsi="Calibri"/>
          <w:b/>
          <w:color w:val="A77D1D"/>
          <w:sz w:val="21"/>
        </w:rPr>
        <w:t>BOTTOM LINE</w:t>
      </w:r>
    </w:p>
    <w:p>
      <w:pPr>
        <w:pStyle w:val="WebsiteBlock"/>
        <w:ind w:left="173" w:right="115"/>
      </w:pPr>
      <w:r>
        <w:rPr>
          <w:rFonts w:ascii="Calibri" w:hAnsi="Calibri"/>
          <w:color w:val="201B28"/>
          <w:sz w:val="21"/>
        </w:rPr>
        <w:t>The responsible conclusion is neither “nothing happened” nor “these documents prove manipulation.” The official record justifies a targeted document hunt, but the causal chain remains incomplete.</w:t>
      </w:r>
    </w:p>
    <w:p>
      <w:pPr>
        <w:pStyle w:val="WebsiteBlock"/>
        <w:ind w:left="173" w:right="115"/>
      </w:pPr>
      <w:r>
        <w:rPr>
          <w:rFonts w:ascii="Calibri" w:hAnsi="Calibri"/>
          <w:color w:val="201B28"/>
          <w:sz w:val="21"/>
        </w:rPr>
        <w:t>Read the documents. Follow the chain. Check the receipts.</w:t>
      </w:r>
    </w:p>
    <w:p>
      <w:pPr>
        <w:pStyle w:val="WebsiteBlock"/>
        <w:ind w:left="173" w:right="115"/>
      </w:pPr>
      <w:r>
        <w:rPr>
          <w:rFonts w:ascii="Calibri" w:hAnsi="Calibri"/>
          <w:color w:val="201B28"/>
          <w:sz w:val="21"/>
        </w:rPr>
        <w:t>No price predictions. No manufactured hope. No final accusations without evidence.</w:t>
      </w:r>
    </w:p>
    <w:p>
      <w:pPr>
        <w:spacing w:before="80" w:after="120"/>
        <w:shd w:fill="F7F0DD"/>
        <w:pBdr>
          <w:left w:val="single" w:sz="18" w:space="8" w:color="D6B25E"/>
        </w:pBdr>
      </w:pPr>
      <w:r>
        <w:rPr>
          <w:rFonts w:ascii="Calibri" w:hAnsi="Calibri"/>
          <w:b/>
          <w:color w:val="A77D1D"/>
          <w:sz w:val="19"/>
        </w:rPr>
        <w:t>BLOCK 6 — SOURCE DOCUMENTS</w:t>
      </w:r>
    </w:p>
    <w:p>
      <w:pPr>
        <w:pStyle w:val="WebsiteBlock"/>
        <w:ind w:left="173" w:right="115"/>
      </w:pPr>
      <w:r>
        <w:rPr>
          <w:rFonts w:ascii="Calibri" w:hAnsi="Calibri"/>
          <w:b/>
          <w:color w:val="A77D1D"/>
          <w:sz w:val="21"/>
        </w:rPr>
        <w:t>SOURCE FILE</w:t>
      </w:r>
    </w:p>
    <w:p>
      <w:pPr>
        <w:pStyle w:val="WebsiteBlock"/>
        <w:ind w:left="173" w:right="115"/>
      </w:pPr>
      <w:hyperlink r:id="rId12">
        <w:r>
          <w:rPr>
            <w:rFonts w:ascii="Calibri" w:hAnsi="Calibri"/>
            <w:color w:val="A77D1D"/>
            <w:u w:val="single"/>
          </w:rPr>
          <w:t>FTX Digital Asset Estimates</w:t>
        </w:r>
      </w:hyperlink>
    </w:p>
    <w:p>
      <w:pPr>
        <w:pStyle w:val="WebsiteBlock"/>
        <w:ind w:left="173" w:right="115"/>
      </w:pPr>
      <w:hyperlink r:id="rId13">
        <w:r>
          <w:rPr>
            <w:rFonts w:ascii="Calibri" w:hAnsi="Calibri"/>
            <w:color w:val="A77D1D"/>
            <w:u w:val="single"/>
          </w:rPr>
          <w:t>FTX D.I. 7090 and conversion table</w:t>
        </w:r>
      </w:hyperlink>
    </w:p>
    <w:p>
      <w:pPr>
        <w:pStyle w:val="WebsiteBlock"/>
        <w:ind w:left="173" w:right="115"/>
      </w:pPr>
      <w:hyperlink r:id="rId14">
        <w:r>
          <w:rPr>
            <w:rFonts w:ascii="Calibri" w:hAnsi="Calibri"/>
            <w:color w:val="A77D1D"/>
            <w:u w:val="single"/>
          </w:rPr>
          <w:t>PwC / FTX Digital Markets summons used in the broadcast</w:t>
        </w:r>
      </w:hyperlink>
    </w:p>
    <w:p>
      <w:pPr>
        <w:pStyle w:val="WebsiteBlock"/>
        <w:ind w:left="173" w:right="115"/>
      </w:pPr>
      <w:hyperlink r:id="rId15">
        <w:r>
          <w:rPr>
            <w:rFonts w:ascii="Calibri" w:hAnsi="Calibri"/>
            <w:color w:val="A77D1D"/>
            <w:u w:val="single"/>
          </w:rPr>
          <w:t>FTX D.I. 31051-1 locator — search 31051, Attachment 1</w:t>
        </w:r>
      </w:hyperlink>
    </w:p>
    <w:p>
      <w:pPr>
        <w:pStyle w:val="WebsiteBlock"/>
        <w:ind w:left="173" w:right="115"/>
      </w:pPr>
      <w:hyperlink r:id="rId16">
        <w:r>
          <w:rPr>
            <w:rFonts w:ascii="Calibri" w:hAnsi="Calibri"/>
            <w:color w:val="A77D1D"/>
            <w:u w:val="single"/>
          </w:rPr>
          <w:t>OCC Information Memo 55123</w:t>
        </w:r>
      </w:hyperlink>
    </w:p>
    <w:p>
      <w:pPr>
        <w:pStyle w:val="WebsiteBlock"/>
        <w:ind w:left="173" w:right="115"/>
      </w:pPr>
      <w:hyperlink r:id="rId17">
        <w:r>
          <w:rPr>
            <w:rFonts w:ascii="Calibri" w:hAnsi="Calibri"/>
            <w:color w:val="A77D1D"/>
            <w:u w:val="single"/>
          </w:rPr>
          <w:t>SEC original proposal</w:t>
        </w:r>
      </w:hyperlink>
    </w:p>
    <w:p>
      <w:pPr>
        <w:pStyle w:val="WebsiteBlock"/>
        <w:ind w:left="173" w:right="115"/>
      </w:pPr>
      <w:hyperlink r:id="rId18">
        <w:r>
          <w:rPr>
            <w:rFonts w:ascii="Calibri" w:hAnsi="Calibri"/>
            <w:color w:val="A77D1D"/>
            <w:u w:val="single"/>
          </w:rPr>
          <w:t>SEC final approval</w:t>
        </w:r>
      </w:hyperlink>
    </w:p>
    <w:p>
      <w:pPr>
        <w:pStyle w:val="WebsiteBlock"/>
        <w:ind w:left="173" w:right="115"/>
      </w:pPr>
      <w:hyperlink r:id="rId20">
        <w:r>
          <w:rPr>
            <w:rFonts w:ascii="Calibri" w:hAnsi="Calibri"/>
            <w:color w:val="A77D1D"/>
            <w:u w:val="single"/>
          </w:rPr>
          <w:t>Reuters price record</w:t>
        </w:r>
      </w:hyperlink>
    </w:p>
    <w:p>
      <w:pPr>
        <w:spacing w:before="80" w:after="120"/>
        <w:shd w:fill="F7F0DD"/>
        <w:pBdr>
          <w:left w:val="single" w:sz="18" w:space="8" w:color="D6B25E"/>
        </w:pBdr>
      </w:pPr>
      <w:r>
        <w:rPr>
          <w:rFonts w:ascii="Calibri" w:hAnsi="Calibri"/>
          <w:b/>
          <w:color w:val="A77D1D"/>
          <w:sz w:val="19"/>
        </w:rPr>
        <w:t>BLOCK 7 — RESEARCH NOTICE</w:t>
      </w:r>
    </w:p>
    <w:p>
      <w:pPr>
        <w:pStyle w:val="WebsiteBlock"/>
        <w:ind w:left="173" w:right="115"/>
      </w:pPr>
      <w:r>
        <w:rPr>
          <w:rFonts w:ascii="Calibri" w:hAnsi="Calibri"/>
          <w:color w:val="201B28"/>
          <w:sz w:val="21"/>
        </w:rPr>
        <w:t>This desk contains published findings only. Active investigations and unfinished research remain private until reviewed, sourced and approved for release.</w:t>
      </w:r>
    </w:p>
    <w:p>
      <w:pPr>
        <w:pStyle w:val="WebsiteBlock"/>
        <w:ind w:left="173" w:right="115"/>
      </w:pPr>
      <w:r>
        <w:rPr>
          <w:rFonts w:ascii="Calibri" w:hAnsi="Calibri"/>
          <w:color w:val="201B28"/>
          <w:sz w:val="21"/>
        </w:rPr>
        <w:t>Research and analysis: James Allen / Security James and Crazy Angry Matt.</w:t>
      </w:r>
    </w:p>
    <w:p>
      <w:pPr>
        <w:pStyle w:val="WebsiteBlock"/>
        <w:ind w:left="173" w:right="115"/>
      </w:pPr>
      <w:r>
        <w:rPr>
          <w:rFonts w:ascii="Calibri" w:hAnsi="Calibri"/>
          <w:color w:val="201B28"/>
          <w:sz w:val="21"/>
        </w:rPr>
        <w:t>Publication text and presentation © 2026 James Allen / The AMC Ape Cage. Sharing is welcome with clear attribution and a direct link to the original publication.</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Calibri" w:hAnsi="Calibri"/>
        <w:color w:val="5F5968"/>
        <w:sz w:val="17"/>
      </w:rPr>
      <w:t xml:space="preserve">THE AMC APE CAGE  •  CASE FILE 001  •  </w:t>
    </w:r>
    <w:r>
      <w:rPr>
        <w:rFonts w:ascii="Calibri" w:hAnsi="Calibri"/>
        <w:color w:val="5F5968"/>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5F5968"/>
        <w:sz w:val="17"/>
      </w:rPr>
      <w:t>THE AMC APE CAGE  |  EVIDENCE DESK</w:t>
    </w:r>
    <w:r>
      <w:rPr>
        <w:rFonts w:ascii="Calibri" w:hAnsi="Calibri"/>
        <w:b/>
        <w:color w:val="A77D1D"/>
        <w:sz w:val="17"/>
      </w:rPr>
      <w:t xml:space="preserve">                                                        CASE FILE 001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720"/>
        </w:tabs>
        <w:ind w:left="720" w:hanging="360"/>
        <w:spacing w:after="160" w:line="280" w:lineRule="auto"/>
      </w:pPr>
      <w:rPr>
        <w:rFonts w:ascii="Calibri" w:hAnsi="Calibri"/>
      </w:rPr>
    </w:lvl>
  </w:abstractNum>
  <w:num w:numId="10">
    <w:abstractNumId w:val="9"/>
  </w:num>
  <w:abstractNum w:abstractNumId="10">
    <w:multiLevelType w:val="singleLevel"/>
    <w:lvl w:ilvl="0">
      <w:start w:val="1"/>
      <w:numFmt w:val="decimal"/>
      <w:lvlText w:val="%1."/>
      <w:lvlJc w:val="left"/>
      <w:pPr>
        <w:tabs>
          <w:tab w:val="num" w:pos="720"/>
        </w:tabs>
        <w:ind w:left="720" w:hanging="360"/>
        <w:spacing w:after="160" w:line="280" w:lineRule="auto"/>
      </w:pPr>
    </w:lvl>
  </w:abstractNum>
  <w:num w:numId="11">
    <w:abstractNumId w:val="10"/>
  </w:num>
  <w:num w:numId="12">
    <w:abstractNumId w:val="10"/>
    <w:lvlOverride w:ilvl="0">
      <w:startOverride w:val="1"/>
    </w:lvlOverride>
  </w:num>
  <w:num w:numId="13">
    <w:abstractNumId w:val="10"/>
    <w:lvlOverride w:ilvl="0">
      <w:startOverride w:val="1"/>
    </w:lvlOverride>
  </w:num>
  <w:num w:numId="14">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201B2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A77D1D"/>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01B28"/>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A77D1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cker">
    <w:name w:val="Kicker"/>
    <w:pPr>
      <w:keepNext/>
      <w:spacing w:after="100"/>
    </w:pPr>
    <w:rPr>
      <w:rFonts w:ascii="Calibri" w:hAnsi="Calibri"/>
      <w:b/>
      <w:color w:val="A77D1D"/>
      <w:sz w:val="21"/>
    </w:rPr>
  </w:style>
  <w:style w:type="paragraph" w:customStyle="1" w:styleId="WebsiteBlock">
    <w:name w:val="Website Block"/>
    <w:pPr>
      <w:spacing w:after="120" w:line="264" w:lineRule="auto"/>
    </w:pPr>
    <w:rPr>
      <w:rFonts w:ascii="Calibri" w:hAnsi="Calibri"/>
      <w:color w:val="201B28"/>
      <w:sz w:val="21"/>
    </w:rPr>
  </w:style>
  <w:style w:type="paragraph" w:customStyle="1" w:styleId="SourceNote">
    <w:name w:val="Source Note"/>
    <w:pPr>
      <w:spacing w:before="80" w:after="80" w:line="264" w:lineRule="auto"/>
    </w:pPr>
    <w:rPr>
      <w:rFonts w:ascii="Calibri" w:hAnsi="Calibri"/>
      <w:color w:val="5F5968"/>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youtube.com/live/Fl_p116KPQ8" TargetMode="External"/><Relationship Id="rId12" Type="http://schemas.openxmlformats.org/officeDocument/2006/relationships/hyperlink" Target="https://support.ftx.com/hc/en-us/articles/24863020316948-Digital-Asset-Estimates" TargetMode="External"/><Relationship Id="rId13" Type="http://schemas.openxmlformats.org/officeDocument/2006/relationships/hyperlink" Target="https://restructuring.ra.kroll.com/FTX/Home-DownloadPDF?id1=MjYxNDg5Mw==&amp;id2=-1" TargetMode="External"/><Relationship Id="rId14" Type="http://schemas.openxmlformats.org/officeDocument/2006/relationships/hyperlink" Target="https://www.pwc.com/bs/en/services/business-restructuring-ftx-digital-markets/assets/summons-reapproval-of-estimation-methodology.pdf" TargetMode="External"/><Relationship Id="rId15" Type="http://schemas.openxmlformats.org/officeDocument/2006/relationships/hyperlink" Target="https://restructuring.ra.kroll.com/FTX/Home-DocketInfo" TargetMode="External"/><Relationship Id="rId16" Type="http://schemas.openxmlformats.org/officeDocument/2006/relationships/hyperlink" Target="https://infomemo.theocc.com/infomemos?number=55123" TargetMode="External"/><Relationship Id="rId17" Type="http://schemas.openxmlformats.org/officeDocument/2006/relationships/hyperlink" Target="https://www.sec.gov/files/rules/sro/occ/2024/34-100664.pdf" TargetMode="External"/><Relationship Id="rId18" Type="http://schemas.openxmlformats.org/officeDocument/2006/relationships/hyperlink" Target="https://www.sec.gov/files/rules/sro/occ/2025/34-102768.pdf" TargetMode="External"/><Relationship Id="rId19" Type="http://schemas.openxmlformats.org/officeDocument/2006/relationships/hyperlink" Target="https://www.federalregister.gov/documents/2025/04/09/2025-06041/self-regulatory-organizations-the-options-clearing-corporation-order-granting-approval-of-proposed" TargetMode="External"/><Relationship Id="rId20" Type="http://schemas.openxmlformats.org/officeDocument/2006/relationships/hyperlink" Target="https://www.reuters.com/business/amc-gamestop-shares-fall-half-their-june-peaks-2021-0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AMC Ape Cage Case File 001 — Dumb Money Found the Receipts</dc:title>
  <dc:subject>FTX tokenized AMC/GME records, bankruptcy claim math and OCC intraday risk</dc:subject>
  <dc:creator>James Allen / The AMC Ape Cage</dc:creator>
  <cp:keywords>AMC, GME, FTX, tokenized stocks, OCC, intraday risk, evidence desk</cp:keywords>
  <dc:description>Published findings; evidence cut-off July 12, 2026</dc:description>
  <cp:lastModifiedBy/>
  <cp:revision>1</cp:revision>
  <dcterms:created xsi:type="dcterms:W3CDTF">2013-12-23T23:15:00Z</dcterms:created>
  <dcterms:modified xsi:type="dcterms:W3CDTF">2013-12-23T23:15:00Z</dcterms:modified>
  <cp:category/>
</cp:coreProperties>
</file>